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C54C5F0" w14:textId="77777777" w:rsidR="007B17D0" w:rsidRPr="001F133C" w:rsidRDefault="00E04119">
      <w:pPr>
        <w:tabs>
          <w:tab w:val="center" w:pos="4536"/>
          <w:tab w:val="right" w:pos="9639"/>
        </w:tabs>
        <w:spacing w:beforeLines="0" w:after="120" w:line="240" w:lineRule="auto"/>
        <w:ind w:right="2"/>
        <w:rPr>
          <w:rFonts w:ascii="Arial" w:hAnsi="Arial" w:cs="Arial"/>
          <w:b/>
          <w:bCs/>
          <w:sz w:val="22"/>
          <w:szCs w:val="22"/>
        </w:rPr>
      </w:pPr>
      <w:r w:rsidRPr="001F133C">
        <w:rPr>
          <w:rFonts w:ascii="Arial" w:hAnsi="Arial" w:cs="Arial"/>
          <w:b/>
          <w:bCs/>
          <w:sz w:val="22"/>
          <w:szCs w:val="22"/>
        </w:rPr>
        <w:t xml:space="preserve">3GPP TSG RAN WG1 </w:t>
      </w:r>
      <w:r w:rsidRPr="001F133C">
        <w:rPr>
          <w:rFonts w:ascii="Arial" w:hAnsi="Arial" w:cs="Arial" w:hint="eastAsia"/>
          <w:b/>
          <w:bCs/>
          <w:sz w:val="22"/>
          <w:szCs w:val="22"/>
        </w:rPr>
        <w:t>#99</w:t>
      </w:r>
      <w:r w:rsidRPr="001F133C">
        <w:rPr>
          <w:rFonts w:ascii="Arial" w:hAnsi="Arial" w:cs="Arial"/>
          <w:b/>
          <w:bCs/>
          <w:sz w:val="22"/>
          <w:szCs w:val="22"/>
        </w:rPr>
        <w:tab/>
      </w:r>
      <w:r w:rsidRPr="001F133C">
        <w:rPr>
          <w:rFonts w:ascii="Arial" w:hAnsi="Arial" w:cs="Arial"/>
          <w:b/>
          <w:bCs/>
          <w:sz w:val="22"/>
          <w:szCs w:val="22"/>
        </w:rPr>
        <w:tab/>
      </w:r>
      <w:r w:rsidR="001F133C" w:rsidRPr="001F133C">
        <w:rPr>
          <w:rFonts w:ascii="Arial" w:hAnsi="Arial" w:cs="Arial"/>
          <w:b/>
          <w:bCs/>
          <w:sz w:val="22"/>
          <w:szCs w:val="22"/>
        </w:rPr>
        <w:t>R1-1912669</w:t>
      </w:r>
    </w:p>
    <w:p w14:paraId="3B3A7F8D" w14:textId="77777777" w:rsidR="007B17D0" w:rsidRDefault="00E04119">
      <w:pPr>
        <w:tabs>
          <w:tab w:val="center" w:pos="4536"/>
          <w:tab w:val="right" w:pos="9639"/>
        </w:tabs>
        <w:spacing w:beforeLines="0" w:after="120" w:line="240" w:lineRule="auto"/>
        <w:ind w:right="2"/>
        <w:rPr>
          <w:rFonts w:ascii="Arial" w:hAnsi="Arial" w:cs="Arial"/>
          <w:b/>
          <w:bCs/>
          <w:sz w:val="22"/>
          <w:szCs w:val="22"/>
        </w:rPr>
      </w:pPr>
      <w:r>
        <w:rPr>
          <w:rFonts w:ascii="Arial" w:hAnsi="Arial" w:cs="Arial" w:hint="eastAsia"/>
          <w:b/>
          <w:bCs/>
          <w:sz w:val="22"/>
          <w:szCs w:val="22"/>
        </w:rPr>
        <w:t>Reno, USA, November 18</w:t>
      </w:r>
      <w:r>
        <w:rPr>
          <w:rFonts w:ascii="Arial" w:hAnsi="Arial" w:cs="Arial" w:hint="eastAsia"/>
          <w:b/>
          <w:bCs/>
          <w:sz w:val="22"/>
          <w:szCs w:val="22"/>
          <w:vertAlign w:val="superscript"/>
        </w:rPr>
        <w:t>th</w:t>
      </w:r>
      <w:r>
        <w:rPr>
          <w:rFonts w:ascii="Arial" w:hAnsi="Arial" w:cs="Arial" w:hint="eastAsia"/>
          <w:b/>
          <w:bCs/>
          <w:sz w:val="22"/>
          <w:szCs w:val="22"/>
        </w:rPr>
        <w:t xml:space="preserve"> - 22</w:t>
      </w:r>
      <w:r>
        <w:rPr>
          <w:rFonts w:ascii="Arial" w:hAnsi="Arial" w:cs="Arial" w:hint="eastAsia"/>
          <w:b/>
          <w:bCs/>
          <w:sz w:val="22"/>
          <w:szCs w:val="22"/>
          <w:vertAlign w:val="superscript"/>
        </w:rPr>
        <w:t>nd</w:t>
      </w:r>
      <w:r>
        <w:rPr>
          <w:rFonts w:ascii="Arial" w:hAnsi="Arial" w:cs="Arial" w:hint="eastAsia"/>
          <w:b/>
          <w:bCs/>
          <w:sz w:val="22"/>
          <w:szCs w:val="22"/>
        </w:rPr>
        <w:t>, 2019</w:t>
      </w:r>
    </w:p>
    <w:p w14:paraId="4E3C0543" w14:textId="77777777" w:rsidR="007B17D0" w:rsidRDefault="00E04119" w:rsidP="00597248">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NR sidelink congestion control</w:t>
      </w:r>
    </w:p>
    <w:p w14:paraId="6FA2A84A" w14:textId="77777777" w:rsidR="007B17D0" w:rsidRDefault="00E04119">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14:paraId="4E1F0DA0" w14:textId="77777777" w:rsidR="007B17D0" w:rsidRDefault="00E04119">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7.2.4.6</w:t>
      </w:r>
    </w:p>
    <w:p w14:paraId="185A9EF3" w14:textId="77777777" w:rsidR="007B17D0" w:rsidRDefault="00E04119">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6790925D" w14:textId="77777777" w:rsidR="007B17D0" w:rsidRDefault="00E04119">
      <w:pPr>
        <w:pStyle w:val="Heading1"/>
        <w:spacing w:before="120" w:after="120"/>
        <w:ind w:left="0"/>
        <w:rPr>
          <w:rFonts w:eastAsia="SimSun"/>
        </w:rPr>
      </w:pPr>
      <w:r>
        <w:rPr>
          <w:rFonts w:eastAsia="SimSun" w:hint="eastAsia"/>
        </w:rPr>
        <w:t>Introduction</w:t>
      </w:r>
    </w:p>
    <w:p w14:paraId="304BDB91" w14:textId="77777777" w:rsidR="007B17D0" w:rsidRDefault="00E04119">
      <w:pPr>
        <w:spacing w:before="120" w:after="120"/>
        <w:rPr>
          <w:sz w:val="20"/>
        </w:rPr>
      </w:pPr>
      <w:r>
        <w:rPr>
          <w:rFonts w:hint="eastAsia"/>
          <w:sz w:val="20"/>
        </w:rPr>
        <w:t>At RAN1 #98bis, the following agreements were achieved for QoS management</w:t>
      </w:r>
      <w:r>
        <w:rPr>
          <w:sz w:val="20"/>
        </w:rPr>
        <w:t xml:space="preserve"> </w:t>
      </w:r>
      <w:r>
        <w:rPr>
          <w:rFonts w:hint="eastAsia"/>
          <w:sz w:val="20"/>
        </w:rPr>
        <w:t>[1]:</w:t>
      </w:r>
    </w:p>
    <w:p w14:paraId="69332516" w14:textId="77777777" w:rsidR="007B17D0" w:rsidRDefault="00E04119">
      <w:pPr>
        <w:spacing w:before="120" w:after="120"/>
        <w:rPr>
          <w:i/>
          <w:iCs/>
          <w:sz w:val="20"/>
        </w:rPr>
      </w:pPr>
      <w:r>
        <w:rPr>
          <w:i/>
          <w:iCs/>
          <w:sz w:val="20"/>
          <w:highlight w:val="green"/>
        </w:rPr>
        <w:t>Agreements</w:t>
      </w:r>
      <w:r>
        <w:rPr>
          <w:i/>
          <w:iCs/>
          <w:sz w:val="20"/>
        </w:rPr>
        <w:t>:</w:t>
      </w:r>
    </w:p>
    <w:p w14:paraId="6A22ADE8" w14:textId="77777777" w:rsidR="007B17D0" w:rsidRDefault="00E04119">
      <w:pPr>
        <w:spacing w:before="120" w:after="120"/>
        <w:rPr>
          <w:i/>
          <w:iCs/>
          <w:sz w:val="20"/>
        </w:rPr>
      </w:pPr>
      <w:r>
        <w:rPr>
          <w:i/>
          <w:iCs/>
          <w:sz w:val="20"/>
        </w:rPr>
        <w:t>Define NR sidelink Channel Occupancy Ratio (CR) measurement.</w:t>
      </w:r>
    </w:p>
    <w:p w14:paraId="4F769338" w14:textId="77777777" w:rsidR="007B17D0" w:rsidRDefault="00E04119">
      <w:pPr>
        <w:pStyle w:val="ListParagraph"/>
        <w:numPr>
          <w:ilvl w:val="0"/>
          <w:numId w:val="8"/>
        </w:numPr>
        <w:spacing w:after="120" w:line="259" w:lineRule="auto"/>
        <w:rPr>
          <w:i/>
          <w:iCs/>
          <w:sz w:val="20"/>
          <w:szCs w:val="20"/>
        </w:rPr>
      </w:pPr>
      <w:r>
        <w:rPr>
          <w:i/>
          <w:iCs/>
          <w:sz w:val="20"/>
          <w:szCs w:val="20"/>
        </w:rPr>
        <w:t xml:space="preserve">LTE CR is the baselines </w:t>
      </w:r>
    </w:p>
    <w:p w14:paraId="12FAA170" w14:textId="77777777" w:rsidR="007B17D0" w:rsidRDefault="00E04119">
      <w:pPr>
        <w:spacing w:before="120" w:after="120"/>
        <w:rPr>
          <w:i/>
          <w:iCs/>
          <w:sz w:val="20"/>
        </w:rPr>
      </w:pPr>
      <w:r>
        <w:rPr>
          <w:i/>
          <w:iCs/>
          <w:sz w:val="20"/>
          <w:highlight w:val="green"/>
        </w:rPr>
        <w:t>Agreements</w:t>
      </w:r>
      <w:r>
        <w:rPr>
          <w:i/>
          <w:iCs/>
          <w:sz w:val="20"/>
        </w:rPr>
        <w:t>:</w:t>
      </w:r>
    </w:p>
    <w:p w14:paraId="34101437" w14:textId="77777777" w:rsidR="007B17D0" w:rsidRDefault="00E04119">
      <w:pPr>
        <w:numPr>
          <w:ilvl w:val="0"/>
          <w:numId w:val="9"/>
        </w:numPr>
        <w:spacing w:before="120" w:after="120"/>
        <w:rPr>
          <w:i/>
          <w:iCs/>
          <w:sz w:val="20"/>
        </w:rPr>
      </w:pPr>
      <w:r>
        <w:rPr>
          <w:i/>
          <w:iCs/>
          <w:sz w:val="20"/>
        </w:rPr>
        <w:t>Congestion control can restrict the values of at least the following PSSCH/PSCCH TX parameters per resource pool:</w:t>
      </w:r>
    </w:p>
    <w:p w14:paraId="67E4433E" w14:textId="77777777" w:rsidR="007B17D0" w:rsidRDefault="00E04119">
      <w:pPr>
        <w:pStyle w:val="ListParagraph"/>
        <w:numPr>
          <w:ilvl w:val="1"/>
          <w:numId w:val="9"/>
        </w:numPr>
        <w:spacing w:after="120" w:line="259" w:lineRule="auto"/>
        <w:rPr>
          <w:i/>
          <w:iCs/>
          <w:sz w:val="20"/>
          <w:szCs w:val="20"/>
        </w:rPr>
      </w:pPr>
      <w:r>
        <w:rPr>
          <w:i/>
          <w:iCs/>
          <w:sz w:val="20"/>
          <w:szCs w:val="20"/>
        </w:rPr>
        <w:t>Range of MCS for a given MCS table supported within the resource pool</w:t>
      </w:r>
    </w:p>
    <w:p w14:paraId="3AF48361" w14:textId="77777777" w:rsidR="007B17D0" w:rsidRDefault="00E04119">
      <w:pPr>
        <w:pStyle w:val="ListParagraph"/>
        <w:numPr>
          <w:ilvl w:val="1"/>
          <w:numId w:val="9"/>
        </w:numPr>
        <w:spacing w:after="120" w:line="259" w:lineRule="auto"/>
        <w:rPr>
          <w:i/>
          <w:iCs/>
          <w:sz w:val="20"/>
          <w:szCs w:val="20"/>
        </w:rPr>
      </w:pPr>
      <w:r>
        <w:rPr>
          <w:i/>
          <w:iCs/>
          <w:sz w:val="20"/>
          <w:szCs w:val="20"/>
        </w:rPr>
        <w:t>Range of number of sub-channels</w:t>
      </w:r>
    </w:p>
    <w:p w14:paraId="5161029E" w14:textId="77777777" w:rsidR="007B17D0" w:rsidRDefault="00E04119">
      <w:pPr>
        <w:pStyle w:val="ListParagraph"/>
        <w:numPr>
          <w:ilvl w:val="1"/>
          <w:numId w:val="9"/>
        </w:numPr>
        <w:spacing w:after="120" w:line="259" w:lineRule="auto"/>
        <w:rPr>
          <w:i/>
          <w:iCs/>
          <w:sz w:val="20"/>
          <w:szCs w:val="20"/>
        </w:rPr>
      </w:pPr>
      <w:r>
        <w:rPr>
          <w:i/>
          <w:iCs/>
          <w:sz w:val="20"/>
          <w:szCs w:val="20"/>
        </w:rPr>
        <w:t>Upper bound of number of (re)transmissions – already agreed in mode 2 AI</w:t>
      </w:r>
    </w:p>
    <w:p w14:paraId="11AE5433" w14:textId="77777777" w:rsidR="007B17D0" w:rsidRDefault="00E04119">
      <w:pPr>
        <w:pStyle w:val="ListParagraph"/>
        <w:numPr>
          <w:ilvl w:val="1"/>
          <w:numId w:val="9"/>
        </w:numPr>
        <w:spacing w:after="120" w:line="259" w:lineRule="auto"/>
        <w:rPr>
          <w:i/>
          <w:iCs/>
          <w:sz w:val="20"/>
          <w:szCs w:val="20"/>
        </w:rPr>
      </w:pPr>
      <w:r>
        <w:rPr>
          <w:i/>
          <w:iCs/>
          <w:sz w:val="20"/>
          <w:szCs w:val="20"/>
        </w:rPr>
        <w:t>Upper bound of TX power (including zero TX power)</w:t>
      </w:r>
    </w:p>
    <w:p w14:paraId="67E0D21C" w14:textId="77777777" w:rsidR="007B17D0" w:rsidRDefault="00E04119">
      <w:pPr>
        <w:numPr>
          <w:ilvl w:val="0"/>
          <w:numId w:val="9"/>
        </w:numPr>
        <w:spacing w:before="120" w:after="120"/>
        <w:rPr>
          <w:i/>
          <w:iCs/>
          <w:sz w:val="20"/>
        </w:rPr>
      </w:pPr>
      <w:r>
        <w:rPr>
          <w:i/>
          <w:iCs/>
          <w:sz w:val="20"/>
        </w:rPr>
        <w:t>Congestion control can set an upper bound on channel occupancy ratio (CR), CR</w:t>
      </w:r>
      <w:r>
        <w:rPr>
          <w:i/>
          <w:iCs/>
          <w:sz w:val="20"/>
          <w:vertAlign w:val="subscript"/>
        </w:rPr>
        <w:t>limit</w:t>
      </w:r>
      <w:r>
        <w:rPr>
          <w:i/>
          <w:iCs/>
          <w:sz w:val="20"/>
        </w:rPr>
        <w:t>.</w:t>
      </w:r>
    </w:p>
    <w:p w14:paraId="36E9751B" w14:textId="77777777" w:rsidR="007B17D0" w:rsidRDefault="00E04119">
      <w:pPr>
        <w:numPr>
          <w:ilvl w:val="0"/>
          <w:numId w:val="9"/>
        </w:numPr>
        <w:spacing w:before="120" w:after="120"/>
        <w:rPr>
          <w:i/>
          <w:iCs/>
          <w:sz w:val="20"/>
          <w:lang w:eastAsia="ko-KR"/>
        </w:rPr>
      </w:pPr>
      <w:r>
        <w:rPr>
          <w:i/>
          <w:iCs/>
          <w:sz w:val="20"/>
          <w:lang w:eastAsia="ko-KR"/>
        </w:rPr>
        <w:t xml:space="preserve">Ranges/bounds of the transmission parameters and </w:t>
      </w:r>
      <w:r>
        <w:rPr>
          <w:i/>
          <w:iCs/>
          <w:sz w:val="20"/>
        </w:rPr>
        <w:t>CR</w:t>
      </w:r>
      <w:r>
        <w:rPr>
          <w:i/>
          <w:iCs/>
          <w:sz w:val="20"/>
          <w:vertAlign w:val="subscript"/>
        </w:rPr>
        <w:t>limit</w:t>
      </w:r>
      <w:r>
        <w:rPr>
          <w:i/>
          <w:iCs/>
          <w:sz w:val="20"/>
          <w:lang w:eastAsia="ko-KR"/>
        </w:rPr>
        <w:t xml:space="preserve"> are functions of QoS and CBR.</w:t>
      </w:r>
    </w:p>
    <w:p w14:paraId="353E6D18" w14:textId="77777777" w:rsidR="007B17D0" w:rsidRDefault="00E04119">
      <w:pPr>
        <w:numPr>
          <w:ilvl w:val="0"/>
          <w:numId w:val="9"/>
        </w:numPr>
        <w:spacing w:before="120" w:after="120"/>
        <w:rPr>
          <w:i/>
          <w:iCs/>
          <w:sz w:val="20"/>
        </w:rPr>
      </w:pPr>
      <w:r>
        <w:rPr>
          <w:i/>
          <w:iCs/>
          <w:sz w:val="20"/>
        </w:rPr>
        <w:t>In addition to congestion control (in use or not in use), the above parameters can be restricted by reusing the same mechanism as in LTE</w:t>
      </w:r>
    </w:p>
    <w:p w14:paraId="36EBF4DB" w14:textId="77777777" w:rsidR="007B17D0" w:rsidRDefault="00E04119">
      <w:pPr>
        <w:numPr>
          <w:ilvl w:val="1"/>
          <w:numId w:val="9"/>
        </w:numPr>
        <w:spacing w:before="120" w:after="120"/>
        <w:rPr>
          <w:i/>
          <w:iCs/>
          <w:sz w:val="20"/>
        </w:rPr>
      </w:pPr>
      <w:r>
        <w:rPr>
          <w:i/>
          <w:iCs/>
          <w:sz w:val="20"/>
        </w:rPr>
        <w:t>For speed, further discussion on absolute vs. relative speed</w:t>
      </w:r>
    </w:p>
    <w:p w14:paraId="151D45CF" w14:textId="77777777" w:rsidR="007B17D0" w:rsidRDefault="00E04119">
      <w:pPr>
        <w:pStyle w:val="ListParagraph"/>
        <w:numPr>
          <w:ilvl w:val="1"/>
          <w:numId w:val="9"/>
        </w:numPr>
        <w:spacing w:after="120" w:line="259" w:lineRule="auto"/>
        <w:rPr>
          <w:i/>
          <w:iCs/>
          <w:sz w:val="20"/>
          <w:szCs w:val="20"/>
        </w:rPr>
      </w:pPr>
      <w:r>
        <w:rPr>
          <w:i/>
          <w:iCs/>
          <w:sz w:val="20"/>
          <w:szCs w:val="20"/>
        </w:rPr>
        <w:t xml:space="preserve">FFS other parameter(s) that can be restricted </w:t>
      </w:r>
    </w:p>
    <w:p w14:paraId="1F0BDE48" w14:textId="77777777" w:rsidR="007B17D0" w:rsidRDefault="00E04119">
      <w:pPr>
        <w:pStyle w:val="ListParagraph"/>
        <w:numPr>
          <w:ilvl w:val="1"/>
          <w:numId w:val="9"/>
        </w:numPr>
        <w:spacing w:after="120" w:line="259" w:lineRule="auto"/>
        <w:rPr>
          <w:i/>
          <w:iCs/>
          <w:sz w:val="20"/>
          <w:szCs w:val="20"/>
        </w:rPr>
      </w:pPr>
      <w:r>
        <w:rPr>
          <w:i/>
          <w:iCs/>
          <w:sz w:val="20"/>
          <w:szCs w:val="20"/>
        </w:rPr>
        <w:t>FFS whether or not to tie the speed with a UE capability</w:t>
      </w:r>
    </w:p>
    <w:p w14:paraId="255B3FF5" w14:textId="77777777" w:rsidR="007B17D0" w:rsidRDefault="00E04119">
      <w:pPr>
        <w:spacing w:before="120" w:after="120"/>
        <w:rPr>
          <w:i/>
          <w:iCs/>
          <w:sz w:val="20"/>
        </w:rPr>
      </w:pPr>
      <w:r>
        <w:rPr>
          <w:i/>
          <w:iCs/>
          <w:sz w:val="20"/>
          <w:highlight w:val="green"/>
        </w:rPr>
        <w:t>Agreements</w:t>
      </w:r>
      <w:r>
        <w:rPr>
          <w:i/>
          <w:iCs/>
          <w:sz w:val="20"/>
        </w:rPr>
        <w:t>:</w:t>
      </w:r>
    </w:p>
    <w:p w14:paraId="38B15EA4" w14:textId="77777777" w:rsidR="007B17D0" w:rsidRDefault="00E04119">
      <w:pPr>
        <w:spacing w:before="120" w:after="120"/>
        <w:rPr>
          <w:i/>
          <w:iCs/>
          <w:sz w:val="20"/>
          <w:lang w:eastAsia="ko-KR"/>
        </w:rPr>
      </w:pPr>
      <w:r>
        <w:rPr>
          <w:i/>
          <w:iCs/>
          <w:sz w:val="20"/>
          <w:lang w:eastAsia="ko-KR"/>
        </w:rPr>
        <w:t xml:space="preserve">Lookup table links CBR range with values of the transmission parameters and </w:t>
      </w:r>
      <w:r>
        <w:rPr>
          <w:i/>
          <w:iCs/>
          <w:sz w:val="20"/>
        </w:rPr>
        <w:t>CR</w:t>
      </w:r>
      <w:r>
        <w:rPr>
          <w:i/>
          <w:iCs/>
          <w:sz w:val="20"/>
          <w:vertAlign w:val="subscript"/>
        </w:rPr>
        <w:t>limit</w:t>
      </w:r>
      <w:r>
        <w:rPr>
          <w:i/>
          <w:iCs/>
          <w:sz w:val="20"/>
          <w:lang w:eastAsia="ko-KR"/>
        </w:rPr>
        <w:t xml:space="preserve"> for each value of the indication of a priority of a sidelink transmission carried by SCI payload </w:t>
      </w:r>
      <w:r>
        <w:rPr>
          <w:i/>
          <w:iCs/>
          <w:sz w:val="20"/>
        </w:rPr>
        <w:t xml:space="preserve">(as per WA from RAN1#98), </w:t>
      </w:r>
      <w:r>
        <w:rPr>
          <w:i/>
          <w:iCs/>
          <w:sz w:val="20"/>
          <w:lang w:eastAsia="ko-KR"/>
        </w:rPr>
        <w:t xml:space="preserve">Lookup table is (pre)configured. Details up to RAN2. </w:t>
      </w:r>
    </w:p>
    <w:p w14:paraId="07887BBE" w14:textId="77777777" w:rsidR="007B17D0" w:rsidRDefault="00E04119">
      <w:pPr>
        <w:pStyle w:val="ListParagraph"/>
        <w:numPr>
          <w:ilvl w:val="0"/>
          <w:numId w:val="10"/>
        </w:numPr>
        <w:spacing w:after="120" w:line="259" w:lineRule="auto"/>
        <w:rPr>
          <w:i/>
          <w:iCs/>
          <w:sz w:val="20"/>
          <w:szCs w:val="20"/>
          <w:lang w:eastAsia="ko-KR"/>
        </w:rPr>
      </w:pPr>
      <w:r>
        <w:rPr>
          <w:i/>
          <w:iCs/>
          <w:sz w:val="20"/>
          <w:szCs w:val="20"/>
          <w:lang w:eastAsia="ko-KR"/>
        </w:rPr>
        <w:t xml:space="preserve">Up to 16 (as a </w:t>
      </w:r>
      <w:r>
        <w:rPr>
          <w:i/>
          <w:iCs/>
          <w:sz w:val="20"/>
          <w:szCs w:val="20"/>
          <w:highlight w:val="darkYellow"/>
          <w:lang w:eastAsia="ko-KR"/>
        </w:rPr>
        <w:t>working assumption</w:t>
      </w:r>
      <w:r>
        <w:rPr>
          <w:i/>
          <w:iCs/>
          <w:sz w:val="20"/>
          <w:szCs w:val="20"/>
          <w:lang w:eastAsia="ko-KR"/>
        </w:rPr>
        <w:t>) CBR ranges are supported</w:t>
      </w:r>
    </w:p>
    <w:p w14:paraId="19FFEA6A" w14:textId="77777777" w:rsidR="007B17D0" w:rsidRDefault="00E04119">
      <w:pPr>
        <w:pStyle w:val="ListParagraph"/>
        <w:numPr>
          <w:ilvl w:val="1"/>
          <w:numId w:val="10"/>
        </w:numPr>
        <w:spacing w:after="120" w:line="259" w:lineRule="auto"/>
        <w:rPr>
          <w:i/>
          <w:iCs/>
          <w:sz w:val="20"/>
          <w:szCs w:val="20"/>
          <w:lang w:eastAsia="ko-KR"/>
        </w:rPr>
      </w:pPr>
      <w:r>
        <w:rPr>
          <w:i/>
          <w:iCs/>
          <w:sz w:val="20"/>
          <w:szCs w:val="20"/>
          <w:lang w:eastAsia="ko-KR"/>
        </w:rPr>
        <w:t>The working assumption will be automatically confirmed in RAN1#99 if no further input</w:t>
      </w:r>
    </w:p>
    <w:p w14:paraId="09D09571" w14:textId="77777777" w:rsidR="007B17D0" w:rsidRDefault="00E04119">
      <w:pPr>
        <w:spacing w:before="120" w:after="120"/>
        <w:rPr>
          <w:i/>
          <w:iCs/>
          <w:sz w:val="20"/>
        </w:rPr>
      </w:pPr>
      <w:r>
        <w:rPr>
          <w:i/>
          <w:iCs/>
          <w:sz w:val="20"/>
          <w:highlight w:val="green"/>
        </w:rPr>
        <w:t>Agreements</w:t>
      </w:r>
      <w:r>
        <w:rPr>
          <w:i/>
          <w:iCs/>
          <w:sz w:val="20"/>
        </w:rPr>
        <w:t>:</w:t>
      </w:r>
    </w:p>
    <w:p w14:paraId="2201B49E" w14:textId="77777777" w:rsidR="007B17D0" w:rsidRDefault="00E04119">
      <w:pPr>
        <w:numPr>
          <w:ilvl w:val="0"/>
          <w:numId w:val="11"/>
        </w:numPr>
        <w:spacing w:before="120" w:after="120"/>
        <w:rPr>
          <w:i/>
          <w:iCs/>
          <w:sz w:val="20"/>
        </w:rPr>
      </w:pPr>
      <w:r>
        <w:rPr>
          <w:i/>
          <w:iCs/>
          <w:sz w:val="20"/>
        </w:rPr>
        <w:t>For the priority indication in 1</w:t>
      </w:r>
      <w:r>
        <w:rPr>
          <w:i/>
          <w:iCs/>
          <w:sz w:val="20"/>
          <w:vertAlign w:val="superscript"/>
        </w:rPr>
        <w:t>st</w:t>
      </w:r>
      <w:r>
        <w:rPr>
          <w:i/>
          <w:iCs/>
          <w:sz w:val="20"/>
        </w:rPr>
        <w:t xml:space="preserve"> stage SCI: </w:t>
      </w:r>
    </w:p>
    <w:p w14:paraId="367ADD74" w14:textId="77777777" w:rsidR="007B17D0" w:rsidRDefault="00E04119">
      <w:pPr>
        <w:numPr>
          <w:ilvl w:val="1"/>
          <w:numId w:val="11"/>
        </w:numPr>
        <w:spacing w:before="120" w:after="120"/>
        <w:rPr>
          <w:i/>
          <w:iCs/>
          <w:sz w:val="20"/>
        </w:rPr>
      </w:pPr>
      <w:r>
        <w:rPr>
          <w:i/>
          <w:iCs/>
          <w:sz w:val="20"/>
        </w:rPr>
        <w:t>Up to RAN2 on how to define the mapping between the priority indication and the corresponding QoS</w:t>
      </w:r>
    </w:p>
    <w:p w14:paraId="228E6CA1" w14:textId="77777777" w:rsidR="007B17D0" w:rsidRDefault="00E04119">
      <w:pPr>
        <w:numPr>
          <w:ilvl w:val="1"/>
          <w:numId w:val="11"/>
        </w:numPr>
        <w:spacing w:before="120" w:after="120"/>
        <w:rPr>
          <w:i/>
          <w:iCs/>
          <w:sz w:val="20"/>
        </w:rPr>
      </w:pPr>
      <w:r>
        <w:rPr>
          <w:i/>
          <w:iCs/>
          <w:sz w:val="20"/>
        </w:rPr>
        <w:t xml:space="preserve">Size is 3 bits </w:t>
      </w:r>
      <w:r>
        <w:rPr>
          <w:i/>
          <w:iCs/>
          <w:sz w:val="20"/>
          <w:lang w:eastAsia="ko-KR"/>
        </w:rPr>
        <w:t xml:space="preserve">(as a </w:t>
      </w:r>
      <w:r>
        <w:rPr>
          <w:i/>
          <w:iCs/>
          <w:sz w:val="20"/>
          <w:highlight w:val="darkYellow"/>
          <w:lang w:eastAsia="ko-KR"/>
        </w:rPr>
        <w:t>working assumption</w:t>
      </w:r>
      <w:r>
        <w:rPr>
          <w:i/>
          <w:iCs/>
          <w:sz w:val="20"/>
          <w:lang w:eastAsia="ko-KR"/>
        </w:rPr>
        <w:t>)</w:t>
      </w:r>
    </w:p>
    <w:p w14:paraId="4CEA2CE3" w14:textId="77777777" w:rsidR="007B17D0" w:rsidRDefault="00E04119">
      <w:pPr>
        <w:spacing w:before="120" w:after="120"/>
        <w:rPr>
          <w:i/>
          <w:iCs/>
          <w:sz w:val="20"/>
        </w:rPr>
      </w:pPr>
      <w:r>
        <w:rPr>
          <w:i/>
          <w:iCs/>
          <w:sz w:val="20"/>
          <w:highlight w:val="green"/>
        </w:rPr>
        <w:t>Agreements</w:t>
      </w:r>
      <w:r>
        <w:rPr>
          <w:i/>
          <w:iCs/>
          <w:sz w:val="20"/>
        </w:rPr>
        <w:t>:</w:t>
      </w:r>
    </w:p>
    <w:p w14:paraId="4EC8D67B" w14:textId="77777777" w:rsidR="007B17D0" w:rsidRPr="006555A7" w:rsidRDefault="00E04119" w:rsidP="006555A7">
      <w:pPr>
        <w:numPr>
          <w:ilvl w:val="0"/>
          <w:numId w:val="11"/>
        </w:numPr>
        <w:spacing w:before="120" w:after="120"/>
        <w:rPr>
          <w:bCs/>
          <w:i/>
          <w:iCs/>
          <w:sz w:val="20"/>
        </w:rPr>
      </w:pPr>
      <w:r>
        <w:rPr>
          <w:bCs/>
          <w:i/>
          <w:iCs/>
          <w:sz w:val="20"/>
        </w:rPr>
        <w:lastRenderedPageBreak/>
        <w:t>Sidelink RSSI (SL-RSSI) measurement is used for CBR estimation</w:t>
      </w:r>
    </w:p>
    <w:p w14:paraId="09D91A9B" w14:textId="77777777" w:rsidR="007B17D0" w:rsidRDefault="00E04119">
      <w:pPr>
        <w:spacing w:before="120" w:after="120"/>
        <w:rPr>
          <w:i/>
          <w:iCs/>
          <w:sz w:val="20"/>
        </w:rPr>
      </w:pPr>
      <w:r>
        <w:rPr>
          <w:i/>
          <w:iCs/>
          <w:sz w:val="20"/>
          <w:highlight w:val="green"/>
        </w:rPr>
        <w:t>Agreements</w:t>
      </w:r>
      <w:r>
        <w:rPr>
          <w:i/>
          <w:iCs/>
          <w:sz w:val="20"/>
        </w:rPr>
        <w:t>:</w:t>
      </w:r>
    </w:p>
    <w:p w14:paraId="68DE71B1" w14:textId="77777777" w:rsidR="007B17D0" w:rsidRDefault="00E04119">
      <w:pPr>
        <w:spacing w:before="120" w:after="120"/>
        <w:rPr>
          <w:bCs/>
          <w:i/>
          <w:iCs/>
          <w:sz w:val="20"/>
        </w:rPr>
      </w:pPr>
      <w:r>
        <w:rPr>
          <w:bCs/>
          <w:i/>
          <w:iCs/>
          <w:sz w:val="20"/>
        </w:rPr>
        <w:t>A sidelink resource is busy for the purpose of CBR measurement if Sidelink RSSI measured by the UE in that resource exceeds a (pre-)configured threshold.</w:t>
      </w:r>
    </w:p>
    <w:p w14:paraId="38BC74C9" w14:textId="77777777" w:rsidR="007B17D0" w:rsidRPr="006555A7" w:rsidRDefault="00E04119">
      <w:pPr>
        <w:spacing w:before="120" w:after="120"/>
        <w:rPr>
          <w:sz w:val="20"/>
        </w:rPr>
      </w:pPr>
      <w:r w:rsidRPr="006555A7">
        <w:rPr>
          <w:rFonts w:hint="eastAsia"/>
          <w:sz w:val="20"/>
        </w:rPr>
        <w:t>In this contribution, the remaining issues about NR sidelink congestion control are discussed.</w:t>
      </w:r>
    </w:p>
    <w:p w14:paraId="30D9028F" w14:textId="77777777" w:rsidR="007B17D0" w:rsidRDefault="00E04119">
      <w:pPr>
        <w:pStyle w:val="Heading1"/>
        <w:spacing w:before="120" w:after="120"/>
        <w:ind w:left="0"/>
      </w:pPr>
      <w:r>
        <w:rPr>
          <w:rFonts w:hint="eastAsia"/>
        </w:rPr>
        <w:t>Discussion</w:t>
      </w:r>
      <w:r>
        <w:t>s</w:t>
      </w:r>
      <w:r>
        <w:rPr>
          <w:rFonts w:hint="eastAsia"/>
        </w:rPr>
        <w:t xml:space="preserve"> </w:t>
      </w:r>
    </w:p>
    <w:p w14:paraId="104402FE" w14:textId="77777777" w:rsidR="007B17D0" w:rsidRDefault="00E04119">
      <w:pPr>
        <w:pStyle w:val="Heading2"/>
        <w:spacing w:before="120" w:after="120"/>
        <w:ind w:left="991" w:right="210" w:hangingChars="354" w:hanging="991"/>
        <w:rPr>
          <w:szCs w:val="22"/>
        </w:rPr>
      </w:pPr>
      <w:r>
        <w:rPr>
          <w:rFonts w:hint="eastAsia"/>
          <w:szCs w:val="22"/>
        </w:rPr>
        <w:t>CBR measurement time window size</w:t>
      </w:r>
    </w:p>
    <w:p w14:paraId="1C3371FD" w14:textId="77777777" w:rsidR="003E140D" w:rsidRDefault="00E04119">
      <w:pPr>
        <w:spacing w:before="120" w:after="120"/>
        <w:rPr>
          <w:sz w:val="20"/>
        </w:rPr>
      </w:pPr>
      <w:r w:rsidRPr="006555A7">
        <w:rPr>
          <w:rFonts w:hint="eastAsia"/>
          <w:sz w:val="20"/>
        </w:rPr>
        <w:t>In LTE V2X, as defined in 36.214, for PSSCH, CBR is defined as the portion of sub-channels in the resource pool whose S-RSSI measured by the UE exceed a (pre-)configured threshold sensed over su</w:t>
      </w:r>
      <w:r w:rsidR="003E140D">
        <w:rPr>
          <w:rFonts w:hint="eastAsia"/>
          <w:sz w:val="20"/>
        </w:rPr>
        <w:t xml:space="preserve">bframes [n-100, n-1][2]. </w:t>
      </w:r>
      <w:r w:rsidR="003E140D">
        <w:rPr>
          <w:sz w:val="20"/>
        </w:rPr>
        <w:t>It means</w:t>
      </w:r>
      <w:r w:rsidRPr="006555A7">
        <w:rPr>
          <w:rFonts w:hint="eastAsia"/>
          <w:sz w:val="20"/>
        </w:rPr>
        <w:t xml:space="preserve"> the CBR measurement time window size </w:t>
      </w:r>
      <w:r w:rsidR="003E140D">
        <w:rPr>
          <w:sz w:val="20"/>
        </w:rPr>
        <w:t>in</w:t>
      </w:r>
      <w:r w:rsidR="003E140D" w:rsidRPr="006555A7">
        <w:rPr>
          <w:rFonts w:hint="eastAsia"/>
          <w:sz w:val="20"/>
        </w:rPr>
        <w:t xml:space="preserve"> LTE V2X </w:t>
      </w:r>
      <w:r w:rsidRPr="006555A7">
        <w:rPr>
          <w:rFonts w:hint="eastAsia"/>
          <w:sz w:val="20"/>
        </w:rPr>
        <w:t>is 100ms or 100subframes</w:t>
      </w:r>
      <w:r w:rsidR="003E140D">
        <w:rPr>
          <w:rFonts w:hint="eastAsia"/>
          <w:sz w:val="20"/>
        </w:rPr>
        <w:t xml:space="preserve">, </w:t>
      </w:r>
      <w:r w:rsidR="003E140D">
        <w:rPr>
          <w:sz w:val="20"/>
        </w:rPr>
        <w:t>where</w:t>
      </w:r>
      <w:r w:rsidRPr="006555A7">
        <w:rPr>
          <w:rFonts w:hint="eastAsia"/>
          <w:sz w:val="20"/>
        </w:rPr>
        <w:t xml:space="preserve"> the two values are equivalent because only 15KHz SCS is used for LTE V2X. In NR V2X, both periodic and a</w:t>
      </w:r>
      <w:r w:rsidR="003E140D">
        <w:rPr>
          <w:rFonts w:hint="eastAsia"/>
          <w:sz w:val="20"/>
        </w:rPr>
        <w:t>periodic traffics are supported</w:t>
      </w:r>
      <w:r w:rsidRPr="006555A7">
        <w:rPr>
          <w:rFonts w:hint="eastAsia"/>
          <w:sz w:val="20"/>
        </w:rPr>
        <w:t xml:space="preserve"> and can be transmitted in a same resource pool. To determine the CBR measurement time window size, the i</w:t>
      </w:r>
      <w:r w:rsidRPr="006555A7">
        <w:rPr>
          <w:sz w:val="20"/>
          <w:lang w:eastAsia="ko-KR"/>
        </w:rPr>
        <w:t>nter-packet arrival time</w:t>
      </w:r>
      <w:r w:rsidRPr="006555A7">
        <w:rPr>
          <w:rFonts w:hint="eastAsia"/>
          <w:sz w:val="20"/>
        </w:rPr>
        <w:t xml:space="preserve"> of typical traffic model should be taken into account. The typical traffic model which is defined in 37.885, </w:t>
      </w:r>
      <w:r w:rsidR="003E140D">
        <w:rPr>
          <w:sz w:val="20"/>
        </w:rPr>
        <w:t xml:space="preserve">has the following inter-packet arrival time: </w:t>
      </w:r>
    </w:p>
    <w:p w14:paraId="7CA8B4B9" w14:textId="77777777" w:rsidR="003E140D" w:rsidRDefault="003E140D" w:rsidP="003E140D">
      <w:pPr>
        <w:pStyle w:val="ListParagraph"/>
        <w:numPr>
          <w:ilvl w:val="0"/>
          <w:numId w:val="12"/>
        </w:numPr>
        <w:spacing w:before="120" w:after="120"/>
        <w:rPr>
          <w:sz w:val="20"/>
        </w:rPr>
      </w:pPr>
      <w:r w:rsidRPr="003E140D">
        <w:rPr>
          <w:sz w:val="20"/>
        </w:rPr>
        <w:t>F</w:t>
      </w:r>
      <w:r>
        <w:rPr>
          <w:rFonts w:hint="eastAsia"/>
          <w:sz w:val="20"/>
        </w:rPr>
        <w:t>or periodic traffic</w:t>
      </w:r>
      <w:r>
        <w:rPr>
          <w:sz w:val="20"/>
        </w:rPr>
        <w:t xml:space="preserve">: </w:t>
      </w:r>
      <w:r>
        <w:rPr>
          <w:rFonts w:hint="eastAsia"/>
          <w:sz w:val="20"/>
        </w:rPr>
        <w:t xml:space="preserve">100ms, 10ms, 30ms; </w:t>
      </w:r>
    </w:p>
    <w:p w14:paraId="6F2A17CA" w14:textId="77777777" w:rsidR="003E140D" w:rsidRDefault="003E140D" w:rsidP="00815170">
      <w:pPr>
        <w:pStyle w:val="ListParagraph"/>
        <w:numPr>
          <w:ilvl w:val="0"/>
          <w:numId w:val="12"/>
        </w:numPr>
        <w:spacing w:before="120" w:after="120"/>
        <w:contextualSpacing w:val="0"/>
        <w:rPr>
          <w:sz w:val="20"/>
        </w:rPr>
      </w:pPr>
      <w:r>
        <w:rPr>
          <w:sz w:val="20"/>
        </w:rPr>
        <w:t>F</w:t>
      </w:r>
      <w:r>
        <w:rPr>
          <w:rFonts w:hint="eastAsia"/>
          <w:sz w:val="20"/>
        </w:rPr>
        <w:t>or aperiodic traffic</w:t>
      </w:r>
      <w:r>
        <w:rPr>
          <w:sz w:val="20"/>
        </w:rPr>
        <w:t>:</w:t>
      </w:r>
      <w:r>
        <w:rPr>
          <w:rFonts w:hint="eastAsia"/>
          <w:sz w:val="20"/>
        </w:rPr>
        <w:t xml:space="preserve"> </w:t>
      </w:r>
      <w:r w:rsidR="00E04119" w:rsidRPr="003E140D">
        <w:rPr>
          <w:sz w:val="20"/>
          <w:lang w:eastAsia="ko-KR"/>
        </w:rPr>
        <w:t>50 ms + an exponential random variable with the mean of 50 ms</w:t>
      </w:r>
      <w:r w:rsidR="00E04119" w:rsidRPr="003E140D">
        <w:rPr>
          <w:rFonts w:hint="eastAsia"/>
          <w:sz w:val="20"/>
        </w:rPr>
        <w:t xml:space="preserve">, </w:t>
      </w:r>
      <w:r w:rsidR="00E04119" w:rsidRPr="003E140D">
        <w:rPr>
          <w:sz w:val="20"/>
          <w:lang w:eastAsia="ko-KR"/>
        </w:rPr>
        <w:t>10 ms + an exponential random variable with the mean of 10 ms</w:t>
      </w:r>
      <w:r w:rsidR="00E04119" w:rsidRPr="003E140D">
        <w:rPr>
          <w:rFonts w:hint="eastAsia"/>
          <w:sz w:val="20"/>
        </w:rPr>
        <w:t xml:space="preserve">[3]. </w:t>
      </w:r>
    </w:p>
    <w:p w14:paraId="3CDF8084" w14:textId="77777777" w:rsidR="007B17D0" w:rsidRPr="003E140D" w:rsidRDefault="00E04119" w:rsidP="003E140D">
      <w:pPr>
        <w:pStyle w:val="ListParagraph"/>
        <w:spacing w:before="120" w:after="120"/>
        <w:ind w:left="0"/>
        <w:rPr>
          <w:sz w:val="20"/>
        </w:rPr>
      </w:pPr>
      <w:r w:rsidRPr="003E140D">
        <w:rPr>
          <w:rFonts w:hint="eastAsia"/>
          <w:sz w:val="20"/>
        </w:rPr>
        <w:t xml:space="preserve">To exactly evaluate the CBR of the resource pool, it is a common practice that the CBR measurement time window size should not be smaller than the largest period of all traffics if only periodic traffics are running in a resource pool. Considering the traffic model defined for NR V2X, 100ms is a good choice for NR V2X.     </w:t>
      </w:r>
    </w:p>
    <w:p w14:paraId="65522397" w14:textId="77777777" w:rsidR="007B17D0" w:rsidRPr="006555A7" w:rsidRDefault="00E04119">
      <w:pPr>
        <w:pStyle w:val="YJ-Proposal"/>
        <w:spacing w:before="120" w:after="120"/>
        <w:rPr>
          <w:lang w:val="en-US" w:eastAsia="zh-CN"/>
        </w:rPr>
      </w:pPr>
      <w:bookmarkStart w:id="0" w:name="_Toc24135687"/>
      <w:r w:rsidRPr="006555A7">
        <w:rPr>
          <w:rFonts w:hint="eastAsia"/>
          <w:lang w:val="en-US" w:eastAsia="zh-CN"/>
        </w:rPr>
        <w:t>The CBR measurement time window size is 100 ms for NR V2X.</w:t>
      </w:r>
      <w:bookmarkEnd w:id="0"/>
    </w:p>
    <w:p w14:paraId="1B2C3751" w14:textId="77777777" w:rsidR="007B17D0" w:rsidRDefault="007B17D0">
      <w:pPr>
        <w:spacing w:before="120" w:after="120"/>
        <w:rPr>
          <w:sz w:val="20"/>
        </w:rPr>
      </w:pPr>
    </w:p>
    <w:p w14:paraId="0A52E1A4" w14:textId="77777777" w:rsidR="007B17D0" w:rsidRDefault="00E04119">
      <w:pPr>
        <w:pStyle w:val="Heading2"/>
        <w:spacing w:before="120" w:after="120"/>
        <w:ind w:left="991" w:right="210" w:hangingChars="354" w:hanging="991"/>
      </w:pPr>
      <w:r>
        <w:rPr>
          <w:rFonts w:hint="eastAsia"/>
          <w:szCs w:val="22"/>
        </w:rPr>
        <w:t xml:space="preserve">Time window </w:t>
      </w:r>
      <w:r>
        <w:rPr>
          <w:rFonts w:hint="eastAsia"/>
        </w:rPr>
        <w:t xml:space="preserve">for </w:t>
      </w:r>
      <w:r>
        <w:rPr>
          <w:rFonts w:eastAsia="SimSun" w:hint="eastAsia"/>
        </w:rPr>
        <w:t>CR evaluation</w:t>
      </w:r>
      <w:r>
        <w:rPr>
          <w:rFonts w:hint="eastAsia"/>
        </w:rPr>
        <w:t xml:space="preserve">  </w:t>
      </w:r>
    </w:p>
    <w:p w14:paraId="28A7016F" w14:textId="7B9C4A96" w:rsidR="007B17D0" w:rsidRPr="006555A7" w:rsidRDefault="00E04119">
      <w:pPr>
        <w:spacing w:before="120" w:after="120"/>
        <w:rPr>
          <w:sz w:val="20"/>
        </w:rPr>
      </w:pPr>
      <w:r w:rsidRPr="006555A7">
        <w:rPr>
          <w:rFonts w:hint="eastAsia"/>
          <w:sz w:val="20"/>
        </w:rPr>
        <w:t>In LTE V2X, channel occupancy ratio (CR) evaluated at subframe n is defined as the total number of sub-channe</w:t>
      </w:r>
      <w:r w:rsidR="00815170">
        <w:rPr>
          <w:rFonts w:hint="eastAsia"/>
          <w:sz w:val="20"/>
        </w:rPr>
        <w:t xml:space="preserve">ls used for its transmissions </w:t>
      </w:r>
      <w:r w:rsidR="00815170">
        <w:rPr>
          <w:sz w:val="20"/>
        </w:rPr>
        <w:t>during</w:t>
      </w:r>
      <w:r w:rsidRPr="006555A7">
        <w:rPr>
          <w:rFonts w:hint="eastAsia"/>
          <w:sz w:val="20"/>
        </w:rPr>
        <w:t xml:space="preserve"> subframes [n-a, n-1] and granted in subframes [n, n+b]</w:t>
      </w:r>
      <w:r w:rsidR="00815170">
        <w:rPr>
          <w:sz w:val="20"/>
        </w:rPr>
        <w:t>,</w:t>
      </w:r>
      <w:r w:rsidRPr="006555A7">
        <w:rPr>
          <w:rFonts w:hint="eastAsia"/>
          <w:sz w:val="20"/>
        </w:rPr>
        <w:t xml:space="preserve"> divided by the total number of configured sub-channels in the transmission pool over [n-a, n+b], </w:t>
      </w:r>
      <w:r w:rsidR="00815170">
        <w:rPr>
          <w:sz w:val="20"/>
        </w:rPr>
        <w:t>where</w:t>
      </w:r>
      <w:r w:rsidRPr="006555A7">
        <w:rPr>
          <w:rFonts w:hint="eastAsia"/>
          <w:sz w:val="20"/>
        </w:rPr>
        <w:t xml:space="preserve"> </w:t>
      </w:r>
      <w:r w:rsidRPr="006555A7">
        <w:rPr>
          <w:i/>
          <w:iCs/>
          <w:sz w:val="20"/>
          <w:lang w:eastAsia="ko-KR"/>
        </w:rPr>
        <w:t>a</w:t>
      </w:r>
      <w:r w:rsidRPr="006555A7">
        <w:rPr>
          <w:sz w:val="20"/>
          <w:lang w:eastAsia="ko-KR"/>
        </w:rPr>
        <w:t xml:space="preserve"> is a positive integer and </w:t>
      </w:r>
      <w:r w:rsidRPr="006555A7">
        <w:rPr>
          <w:i/>
          <w:iCs/>
          <w:sz w:val="20"/>
          <w:lang w:eastAsia="ko-KR"/>
        </w:rPr>
        <w:t>b</w:t>
      </w:r>
      <w:r w:rsidRPr="006555A7">
        <w:rPr>
          <w:sz w:val="20"/>
          <w:lang w:eastAsia="ko-KR"/>
        </w:rPr>
        <w:t xml:space="preserve"> is </w:t>
      </w:r>
      <w:r w:rsidR="00815170">
        <w:rPr>
          <w:sz w:val="20"/>
          <w:lang w:eastAsia="ko-KR"/>
        </w:rPr>
        <w:t>non-negative</w:t>
      </w:r>
      <w:r w:rsidRPr="006555A7">
        <w:rPr>
          <w:sz w:val="20"/>
          <w:lang w:eastAsia="ko-KR"/>
        </w:rPr>
        <w:t xml:space="preserve"> integer; </w:t>
      </w:r>
      <w:r w:rsidRPr="006555A7">
        <w:rPr>
          <w:i/>
          <w:iCs/>
          <w:sz w:val="20"/>
          <w:lang w:eastAsia="ko-KR"/>
        </w:rPr>
        <w:t>a</w:t>
      </w:r>
      <w:r w:rsidRPr="006555A7">
        <w:rPr>
          <w:sz w:val="20"/>
          <w:lang w:eastAsia="ko-KR"/>
        </w:rPr>
        <w:t xml:space="preserve"> and </w:t>
      </w:r>
      <w:r w:rsidRPr="006555A7">
        <w:rPr>
          <w:i/>
          <w:iCs/>
          <w:sz w:val="20"/>
          <w:lang w:eastAsia="ko-KR"/>
        </w:rPr>
        <w:t>b</w:t>
      </w:r>
      <w:r w:rsidRPr="006555A7">
        <w:rPr>
          <w:sz w:val="20"/>
          <w:lang w:eastAsia="ko-KR"/>
        </w:rPr>
        <w:t xml:space="preserve"> are determined by UE implementation with </w:t>
      </w:r>
      <w:r w:rsidRPr="006555A7">
        <w:rPr>
          <w:i/>
          <w:iCs/>
          <w:sz w:val="20"/>
          <w:lang w:eastAsia="ko-KR"/>
        </w:rPr>
        <w:t>a+b+1 = 1000</w:t>
      </w:r>
      <w:r w:rsidRPr="006555A7">
        <w:rPr>
          <w:sz w:val="20"/>
          <w:lang w:eastAsia="ko-KR"/>
        </w:rPr>
        <w:t>, a &gt;= 500, and n+b should not exceed the last transmission opportunity of the grant for the current transmission</w:t>
      </w:r>
      <w:r w:rsidRPr="006555A7">
        <w:rPr>
          <w:rFonts w:hint="eastAsia"/>
          <w:sz w:val="20"/>
        </w:rPr>
        <w:t>[3]</w:t>
      </w:r>
      <w:r w:rsidRPr="006555A7">
        <w:rPr>
          <w:sz w:val="20"/>
          <w:lang w:eastAsia="ko-KR"/>
        </w:rPr>
        <w:t xml:space="preserve">. </w:t>
      </w:r>
      <w:r w:rsidRPr="006555A7">
        <w:rPr>
          <w:rFonts w:hint="eastAsia"/>
          <w:sz w:val="20"/>
        </w:rPr>
        <w:t>In LTE V2X</w:t>
      </w:r>
      <w:r w:rsidR="006555A7" w:rsidRPr="006555A7">
        <w:rPr>
          <w:rFonts w:hint="eastAsia"/>
          <w:sz w:val="20"/>
        </w:rPr>
        <w:t>, those transmission opportunit</w:t>
      </w:r>
      <w:r w:rsidR="006555A7" w:rsidRPr="006555A7">
        <w:rPr>
          <w:sz w:val="20"/>
        </w:rPr>
        <w:t>ies</w:t>
      </w:r>
      <w:r w:rsidRPr="006555A7">
        <w:rPr>
          <w:rFonts w:hint="eastAsia"/>
          <w:sz w:val="20"/>
        </w:rPr>
        <w:t xml:space="preserve"> within </w:t>
      </w:r>
      <w:r w:rsidR="00B33A1E" w:rsidRPr="006555A7">
        <w:rPr>
          <w:rFonts w:hint="eastAsia"/>
          <w:sz w:val="20"/>
        </w:rPr>
        <w:t>[n, n+b]</w:t>
      </w:r>
      <w:r w:rsidRPr="006555A7">
        <w:rPr>
          <w:rFonts w:hint="eastAsia"/>
          <w:sz w:val="20"/>
        </w:rPr>
        <w:t xml:space="preserve"> can be regarded as </w:t>
      </w:r>
      <w:r w:rsidRPr="006555A7">
        <w:rPr>
          <w:sz w:val="20"/>
        </w:rPr>
        <w:t>“</w:t>
      </w:r>
      <w:r w:rsidRPr="006555A7">
        <w:rPr>
          <w:rFonts w:hint="eastAsia"/>
          <w:sz w:val="20"/>
        </w:rPr>
        <w:t>future</w:t>
      </w:r>
      <w:r w:rsidRPr="006555A7">
        <w:rPr>
          <w:sz w:val="20"/>
        </w:rPr>
        <w:t>”</w:t>
      </w:r>
      <w:r w:rsidRPr="006555A7">
        <w:rPr>
          <w:rFonts w:hint="eastAsia"/>
          <w:sz w:val="20"/>
        </w:rPr>
        <w:t xml:space="preserve"> resource usage. In NR V2X, both periodic and aperiodic traffics are supported, and both blind transmission and HARQ feedback based transmission are supported. For aperiodic traffic, obviously the next TB transmission oc</w:t>
      </w:r>
      <w:r w:rsidR="00B33A1E">
        <w:rPr>
          <w:rFonts w:hint="eastAsia"/>
          <w:sz w:val="20"/>
        </w:rPr>
        <w:t xml:space="preserve">casions cannot be predicted. </w:t>
      </w:r>
      <w:r w:rsidR="00815170">
        <w:rPr>
          <w:sz w:val="20"/>
        </w:rPr>
        <w:t>UE</w:t>
      </w:r>
      <w:r w:rsidRPr="006555A7">
        <w:rPr>
          <w:rFonts w:hint="eastAsia"/>
          <w:sz w:val="20"/>
        </w:rPr>
        <w:t xml:space="preserve"> cannot exactly predict how many of total retransmissions would be performed for this current TB, </w:t>
      </w:r>
      <w:r w:rsidR="00B33A1E">
        <w:rPr>
          <w:sz w:val="20"/>
        </w:rPr>
        <w:t xml:space="preserve">however, </w:t>
      </w:r>
      <w:r w:rsidR="00815170">
        <w:rPr>
          <w:sz w:val="20"/>
        </w:rPr>
        <w:t>UE</w:t>
      </w:r>
      <w:r w:rsidR="00B33A1E">
        <w:rPr>
          <w:rFonts w:hint="eastAsia"/>
          <w:sz w:val="20"/>
        </w:rPr>
        <w:t xml:space="preserve"> can estimate the already-</w:t>
      </w:r>
      <w:r w:rsidRPr="006555A7">
        <w:rPr>
          <w:rFonts w:hint="eastAsia"/>
          <w:sz w:val="20"/>
        </w:rPr>
        <w:t xml:space="preserve">reserved resources for current TB transmission as </w:t>
      </w:r>
      <w:r w:rsidRPr="006555A7">
        <w:rPr>
          <w:sz w:val="20"/>
        </w:rPr>
        <w:t>“</w:t>
      </w:r>
      <w:r w:rsidRPr="006555A7">
        <w:rPr>
          <w:rFonts w:hint="eastAsia"/>
          <w:sz w:val="20"/>
        </w:rPr>
        <w:t>future</w:t>
      </w:r>
      <w:r w:rsidRPr="006555A7">
        <w:rPr>
          <w:sz w:val="20"/>
        </w:rPr>
        <w:t>”</w:t>
      </w:r>
      <w:r w:rsidRPr="006555A7">
        <w:rPr>
          <w:rFonts w:hint="eastAsia"/>
          <w:sz w:val="20"/>
        </w:rPr>
        <w:t xml:space="preserve"> resource usage. </w:t>
      </w:r>
      <w:r w:rsidR="00B33A1E">
        <w:rPr>
          <w:sz w:val="20"/>
        </w:rPr>
        <w:t>Note here the “already-reserved resources” refers to the resources in both the HARQ-based (re)transmission context and the blind (re)transmission context. Given</w:t>
      </w:r>
      <w:r w:rsidRPr="006555A7">
        <w:rPr>
          <w:rFonts w:hint="eastAsia"/>
          <w:sz w:val="20"/>
        </w:rPr>
        <w:t xml:space="preserve"> the time window size for CR evaluation, the same size as LTE V2X seems sufficient for NR V2X. So we give the following proposals:</w:t>
      </w:r>
    </w:p>
    <w:p w14:paraId="29EEC349" w14:textId="77777777" w:rsidR="007B17D0" w:rsidRPr="006555A7" w:rsidRDefault="00E04119">
      <w:pPr>
        <w:pStyle w:val="YJ-Proposal"/>
        <w:spacing w:before="120" w:after="120"/>
        <w:rPr>
          <w:lang w:val="en-US" w:eastAsia="zh-CN"/>
        </w:rPr>
      </w:pPr>
      <w:bookmarkStart w:id="1" w:name="_Toc24135688"/>
      <w:r w:rsidRPr="006555A7">
        <w:rPr>
          <w:rFonts w:hint="eastAsia"/>
          <w:lang w:val="en-US" w:eastAsia="zh-CN"/>
        </w:rPr>
        <w:t xml:space="preserve">Time window size for CR evaluation is fixed </w:t>
      </w:r>
      <w:r w:rsidR="00597248" w:rsidRPr="006555A7">
        <w:rPr>
          <w:lang w:val="en-US" w:eastAsia="zh-CN"/>
        </w:rPr>
        <w:t xml:space="preserve">to </w:t>
      </w:r>
      <w:r w:rsidRPr="006555A7">
        <w:rPr>
          <w:rFonts w:hint="eastAsia"/>
          <w:lang w:val="en-US" w:eastAsia="zh-CN"/>
        </w:rPr>
        <w:t>1000ms.</w:t>
      </w:r>
      <w:bookmarkEnd w:id="1"/>
    </w:p>
    <w:p w14:paraId="47C697B1" w14:textId="24A7E3F1" w:rsidR="007B17D0" w:rsidRPr="006555A7" w:rsidRDefault="00E04119">
      <w:pPr>
        <w:pStyle w:val="YJ-Proposal"/>
        <w:spacing w:before="120" w:after="120"/>
        <w:rPr>
          <w:lang w:val="en-US" w:eastAsia="zh-CN"/>
        </w:rPr>
      </w:pPr>
      <w:bookmarkStart w:id="2" w:name="_Toc24135689"/>
      <w:r w:rsidRPr="006555A7">
        <w:rPr>
          <w:rFonts w:hint="eastAsia"/>
          <w:lang w:val="en-US" w:eastAsia="zh-CN"/>
        </w:rPr>
        <w:t>The time window for CR evaluation at time moment n</w:t>
      </w:r>
      <w:r w:rsidR="00DD0FD0">
        <w:rPr>
          <w:rFonts w:hint="eastAsia"/>
          <w:lang w:val="en-US" w:eastAsia="zh-CN"/>
        </w:rPr>
        <w:t xml:space="preserve"> is [n-a, n+b], in which, 0 &lt; b</w:t>
      </w:r>
      <w:r w:rsidRPr="006555A7">
        <w:rPr>
          <w:rFonts w:hint="eastAsia"/>
          <w:lang w:val="en-US" w:eastAsia="zh-CN"/>
        </w:rPr>
        <w:t>≤</w:t>
      </w:r>
      <w:r w:rsidRPr="006555A7">
        <w:rPr>
          <w:rFonts w:hint="eastAsia"/>
          <w:lang w:val="en-US" w:eastAsia="zh-CN"/>
        </w:rPr>
        <w:t xml:space="preserve"> PDB.</w:t>
      </w:r>
      <w:bookmarkEnd w:id="2"/>
      <w:r w:rsidRPr="006555A7">
        <w:rPr>
          <w:rFonts w:hint="eastAsia"/>
          <w:lang w:val="en-US" w:eastAsia="zh-CN"/>
        </w:rPr>
        <w:t xml:space="preserve">   </w:t>
      </w:r>
    </w:p>
    <w:p w14:paraId="28B648C7" w14:textId="77777777" w:rsidR="007B17D0" w:rsidRDefault="00597248">
      <w:pPr>
        <w:pStyle w:val="YJ-Proposal"/>
        <w:spacing w:before="120" w:after="120"/>
        <w:rPr>
          <w:szCs w:val="22"/>
          <w:lang w:val="en-US" w:eastAsia="zh-CN"/>
        </w:rPr>
      </w:pPr>
      <w:bookmarkStart w:id="3" w:name="_Toc24135690"/>
      <w:r w:rsidRPr="006555A7">
        <w:rPr>
          <w:rFonts w:hint="eastAsia"/>
          <w:lang w:val="en-US" w:eastAsia="zh-CN"/>
        </w:rPr>
        <w:t>Only the already</w:t>
      </w:r>
      <w:r w:rsidRPr="006555A7">
        <w:rPr>
          <w:lang w:val="en-US" w:eastAsia="zh-CN"/>
        </w:rPr>
        <w:t>-</w:t>
      </w:r>
      <w:r w:rsidR="00E04119" w:rsidRPr="006555A7">
        <w:rPr>
          <w:rFonts w:hint="eastAsia"/>
          <w:lang w:val="en-US" w:eastAsia="zh-CN"/>
        </w:rPr>
        <w:t>reserved resource</w:t>
      </w:r>
      <w:r w:rsidRPr="006555A7">
        <w:rPr>
          <w:lang w:val="en-US" w:eastAsia="zh-CN"/>
        </w:rPr>
        <w:t>s</w:t>
      </w:r>
      <w:r w:rsidR="00E04119" w:rsidRPr="006555A7">
        <w:rPr>
          <w:rFonts w:hint="eastAsia"/>
          <w:lang w:val="en-US" w:eastAsia="zh-CN"/>
        </w:rPr>
        <w:t xml:space="preserve"> for current TB transmission are taken into account for </w:t>
      </w:r>
      <w:r w:rsidR="00E04119" w:rsidRPr="006555A7">
        <w:rPr>
          <w:lang w:val="en-US" w:eastAsia="zh-CN"/>
        </w:rPr>
        <w:t>“</w:t>
      </w:r>
      <w:r w:rsidR="00E04119" w:rsidRPr="006555A7">
        <w:rPr>
          <w:rFonts w:hint="eastAsia"/>
          <w:lang w:val="en-US" w:eastAsia="zh-CN"/>
        </w:rPr>
        <w:t>future</w:t>
      </w:r>
      <w:r w:rsidR="00E04119" w:rsidRPr="006555A7">
        <w:rPr>
          <w:lang w:val="en-US" w:eastAsia="zh-CN"/>
        </w:rPr>
        <w:t>”</w:t>
      </w:r>
      <w:r w:rsidR="00E04119">
        <w:rPr>
          <w:rFonts w:hint="eastAsia"/>
          <w:szCs w:val="22"/>
          <w:lang w:val="en-US" w:eastAsia="zh-CN"/>
        </w:rPr>
        <w:t xml:space="preserve"> resource usage in the evaluation of channel occupancy ratio CR.</w:t>
      </w:r>
      <w:bookmarkEnd w:id="3"/>
    </w:p>
    <w:p w14:paraId="7412CE36" w14:textId="77777777" w:rsidR="007B17D0" w:rsidRDefault="00E04119">
      <w:pPr>
        <w:pStyle w:val="Heading2"/>
        <w:spacing w:before="120" w:after="120"/>
        <w:ind w:left="991" w:right="210" w:hangingChars="354" w:hanging="991"/>
        <w:rPr>
          <w:szCs w:val="22"/>
        </w:rPr>
      </w:pPr>
      <w:r>
        <w:rPr>
          <w:rFonts w:hint="eastAsia"/>
          <w:szCs w:val="22"/>
        </w:rPr>
        <w:lastRenderedPageBreak/>
        <w:t>The bit size of priority indication in SCI</w:t>
      </w:r>
    </w:p>
    <w:p w14:paraId="107DD83E" w14:textId="77777777" w:rsidR="007B17D0" w:rsidRPr="006555A7" w:rsidRDefault="004B718E">
      <w:pPr>
        <w:spacing w:before="120" w:after="120"/>
        <w:rPr>
          <w:sz w:val="20"/>
        </w:rPr>
      </w:pPr>
      <w:r>
        <w:rPr>
          <w:sz w:val="20"/>
        </w:rPr>
        <w:t>RAN1 #98bis leaves</w:t>
      </w:r>
      <w:r w:rsidR="00E04119" w:rsidRPr="006555A7">
        <w:rPr>
          <w:rFonts w:hint="eastAsia"/>
          <w:sz w:val="20"/>
        </w:rPr>
        <w:t xml:space="preserve"> a work</w:t>
      </w:r>
      <w:r>
        <w:rPr>
          <w:sz w:val="20"/>
        </w:rPr>
        <w:t>ing</w:t>
      </w:r>
      <w:r w:rsidR="00E04119" w:rsidRPr="006555A7">
        <w:rPr>
          <w:rFonts w:hint="eastAsia"/>
          <w:sz w:val="20"/>
        </w:rPr>
        <w:t xml:space="preserve"> assumption that the bit size of priority indication in 1st stage SCI is 3</w:t>
      </w:r>
      <w:r>
        <w:rPr>
          <w:sz w:val="20"/>
        </w:rPr>
        <w:t>-</w:t>
      </w:r>
      <w:r>
        <w:rPr>
          <w:rFonts w:hint="eastAsia"/>
          <w:sz w:val="20"/>
        </w:rPr>
        <w:t>bit</w:t>
      </w:r>
      <w:r>
        <w:rPr>
          <w:sz w:val="20"/>
        </w:rPr>
        <w:t xml:space="preserve"> </w:t>
      </w:r>
      <w:r w:rsidR="00E04119" w:rsidRPr="006555A7">
        <w:rPr>
          <w:rFonts w:hint="eastAsia"/>
          <w:sz w:val="20"/>
        </w:rPr>
        <w:t xml:space="preserve">[1]. </w:t>
      </w:r>
      <w:r w:rsidR="00DA7FEC">
        <w:rPr>
          <w:sz w:val="20"/>
        </w:rPr>
        <w:t xml:space="preserve">Meanwhile, SA2 also confirms RAN1 #98 understanding, by the following response [4], that </w:t>
      </w:r>
      <w:r w:rsidR="00DA7FEC" w:rsidRPr="006555A7">
        <w:rPr>
          <w:sz w:val="20"/>
        </w:rPr>
        <w:t>NR V2X priority field and PPPP are directly comparable i.e. the same numerical value has the same meaning in both the RATs</w:t>
      </w:r>
      <w:r w:rsidR="00DA7FEC">
        <w:rPr>
          <w:sz w:val="20"/>
        </w:rPr>
        <w:t xml:space="preserve">. Given 3-bit is used in LTE V2X for </w:t>
      </w:r>
      <w:r w:rsidR="00DA7FEC" w:rsidRPr="006555A7">
        <w:rPr>
          <w:rFonts w:hint="eastAsia"/>
          <w:sz w:val="20"/>
        </w:rPr>
        <w:t>PPPP indication</w:t>
      </w:r>
      <w:r w:rsidR="00DA7FEC">
        <w:rPr>
          <w:sz w:val="20"/>
        </w:rPr>
        <w:t xml:space="preserve">, the RAN1 #98bis working assumption can be confirmed. </w:t>
      </w:r>
    </w:p>
    <w:tbl>
      <w:tblPr>
        <w:tblStyle w:val="TableGrid"/>
        <w:tblW w:w="9876" w:type="dxa"/>
        <w:tblLayout w:type="fixed"/>
        <w:tblLook w:val="04A0" w:firstRow="1" w:lastRow="0" w:firstColumn="1" w:lastColumn="0" w:noHBand="0" w:noVBand="1"/>
      </w:tblPr>
      <w:tblGrid>
        <w:gridCol w:w="9876"/>
      </w:tblGrid>
      <w:tr w:rsidR="007B17D0" w:rsidRPr="006555A7" w14:paraId="26E8EABC" w14:textId="77777777">
        <w:tc>
          <w:tcPr>
            <w:tcW w:w="9876" w:type="dxa"/>
          </w:tcPr>
          <w:p w14:paraId="46DD8848" w14:textId="77777777" w:rsidR="007B17D0" w:rsidRPr="006555A7" w:rsidRDefault="00E04119">
            <w:pPr>
              <w:spacing w:before="120" w:after="120"/>
              <w:rPr>
                <w:sz w:val="20"/>
              </w:rPr>
            </w:pPr>
            <w:r w:rsidRPr="006555A7">
              <w:rPr>
                <w:sz w:val="20"/>
              </w:rPr>
              <w:t>SA2 would like to confirm that the RAN1 assumption is correct. As defined in TS 23.287 clause 5.4.3.3, the Priority Level of the NR V2X PC5 QoS characteristics has the same format and meaning of that of the PPPP:</w:t>
            </w:r>
          </w:p>
          <w:p w14:paraId="3BC2101E" w14:textId="77777777" w:rsidR="007B17D0" w:rsidRPr="006555A7" w:rsidRDefault="00E04119">
            <w:pPr>
              <w:tabs>
                <w:tab w:val="left" w:pos="5529"/>
              </w:tabs>
              <w:spacing w:before="120" w:after="120"/>
              <w:ind w:left="568"/>
              <w:rPr>
                <w:i/>
                <w:sz w:val="20"/>
              </w:rPr>
            </w:pPr>
            <w:r w:rsidRPr="006555A7">
              <w:rPr>
                <w:i/>
                <w:sz w:val="20"/>
              </w:rPr>
              <w:t xml:space="preserve">The Priority Level has the same format and meaning as that of the ProSe Per-Packet Priority (PPPP) defined in TS 23.285 [8]. </w:t>
            </w:r>
          </w:p>
          <w:p w14:paraId="1EF12033" w14:textId="77777777" w:rsidR="007B17D0" w:rsidRPr="006555A7" w:rsidRDefault="00E04119">
            <w:pPr>
              <w:pStyle w:val="NO"/>
              <w:spacing w:before="120" w:after="120"/>
              <w:ind w:left="1703"/>
              <w:rPr>
                <w:i/>
                <w:sz w:val="20"/>
              </w:rPr>
            </w:pPr>
            <w:r w:rsidRPr="006555A7">
              <w:rPr>
                <w:i/>
                <w:sz w:val="20"/>
              </w:rPr>
              <w:t>NOTE:</w:t>
            </w:r>
            <w:r w:rsidRPr="006555A7">
              <w:rPr>
                <w:i/>
                <w:sz w:val="20"/>
              </w:rPr>
              <w:tab/>
              <w:t xml:space="preserve">Using the same format for Priority Level and PPPP provides better backward compatibility. </w:t>
            </w:r>
          </w:p>
          <w:p w14:paraId="236CFB14" w14:textId="77777777" w:rsidR="007B17D0" w:rsidRPr="006555A7" w:rsidRDefault="00E04119">
            <w:pPr>
              <w:spacing w:before="120" w:after="120"/>
              <w:rPr>
                <w:sz w:val="20"/>
              </w:rPr>
            </w:pPr>
            <w:r w:rsidRPr="006555A7">
              <w:rPr>
                <w:sz w:val="20"/>
              </w:rPr>
              <w:t>This means that the same numerical value of Priority Level and PPPP has the same meaning in NR V2X and LTE V2X.</w:t>
            </w:r>
          </w:p>
        </w:tc>
      </w:tr>
    </w:tbl>
    <w:p w14:paraId="5081F82D" w14:textId="77777777" w:rsidR="007B17D0" w:rsidRPr="006555A7" w:rsidRDefault="00E04119">
      <w:pPr>
        <w:pStyle w:val="YJ-Proposal"/>
        <w:spacing w:before="120" w:after="120"/>
        <w:rPr>
          <w:lang w:val="en-US" w:eastAsia="zh-CN"/>
        </w:rPr>
      </w:pPr>
      <w:bookmarkStart w:id="4" w:name="_Toc24135691"/>
      <w:r w:rsidRPr="006555A7">
        <w:rPr>
          <w:rFonts w:hint="eastAsia"/>
          <w:lang w:val="en-US" w:eastAsia="zh-CN"/>
        </w:rPr>
        <w:t>Confi</w:t>
      </w:r>
      <w:r w:rsidR="00597248" w:rsidRPr="006555A7">
        <w:rPr>
          <w:rFonts w:hint="eastAsia"/>
          <w:lang w:val="en-US" w:eastAsia="zh-CN"/>
        </w:rPr>
        <w:t xml:space="preserve">rm the work assumption that </w:t>
      </w:r>
      <w:r w:rsidRPr="006555A7">
        <w:rPr>
          <w:rFonts w:hint="eastAsia"/>
          <w:lang w:val="en-US" w:eastAsia="zh-CN"/>
        </w:rPr>
        <w:t>the priori</w:t>
      </w:r>
      <w:r w:rsidR="00597248" w:rsidRPr="006555A7">
        <w:rPr>
          <w:rFonts w:hint="eastAsia"/>
          <w:lang w:val="en-US" w:eastAsia="zh-CN"/>
        </w:rPr>
        <w:t>ty indication in 1st stage SCI</w:t>
      </w:r>
      <w:r w:rsidR="00597248" w:rsidRPr="006555A7">
        <w:rPr>
          <w:lang w:val="en-US" w:eastAsia="zh-CN"/>
        </w:rPr>
        <w:t xml:space="preserve"> has </w:t>
      </w:r>
      <w:r w:rsidRPr="006555A7">
        <w:rPr>
          <w:rFonts w:hint="eastAsia"/>
          <w:lang w:val="en-US" w:eastAsia="zh-CN"/>
        </w:rPr>
        <w:t>3 bits.</w:t>
      </w:r>
      <w:bookmarkEnd w:id="4"/>
    </w:p>
    <w:p w14:paraId="251AB3EF" w14:textId="77777777" w:rsidR="007B17D0" w:rsidRDefault="00E04119">
      <w:pPr>
        <w:pStyle w:val="Heading1"/>
        <w:spacing w:before="120" w:after="120"/>
        <w:ind w:left="0"/>
        <w:rPr>
          <w:rFonts w:eastAsia="SimSun"/>
        </w:rPr>
      </w:pPr>
      <w:r>
        <w:rPr>
          <w:rFonts w:eastAsia="SimSun" w:hint="eastAsia"/>
        </w:rPr>
        <w:t>Conclusion</w:t>
      </w:r>
    </w:p>
    <w:p w14:paraId="0C75ACA6" w14:textId="77777777" w:rsidR="007B17D0" w:rsidRDefault="00E04119">
      <w:pPr>
        <w:snapToGrid w:val="0"/>
        <w:spacing w:before="120" w:after="120"/>
        <w:rPr>
          <w:sz w:val="20"/>
        </w:rPr>
      </w:pPr>
      <w:r>
        <w:rPr>
          <w:rFonts w:hint="eastAsia"/>
          <w:sz w:val="20"/>
        </w:rPr>
        <w:t xml:space="preserve">Based on above discussion, this contribution concludes with </w:t>
      </w:r>
      <w:r>
        <w:rPr>
          <w:sz w:val="20"/>
        </w:rPr>
        <w:t>the following</w:t>
      </w:r>
      <w:r>
        <w:rPr>
          <w:rFonts w:hint="eastAsia"/>
          <w:sz w:val="20"/>
        </w:rPr>
        <w:t xml:space="preserve"> </w:t>
      </w:r>
      <w:r>
        <w:rPr>
          <w:sz w:val="20"/>
        </w:rPr>
        <w:t>proposal</w:t>
      </w:r>
      <w:r>
        <w:rPr>
          <w:rFonts w:hint="eastAsia"/>
          <w:sz w:val="20"/>
        </w:rPr>
        <w:t>s:</w:t>
      </w:r>
    </w:p>
    <w:bookmarkStart w:id="5" w:name="_GoBack"/>
    <w:bookmarkEnd w:id="5"/>
    <w:p w14:paraId="18F2C352" w14:textId="77777777" w:rsidR="00DD0FD0" w:rsidRDefault="00FD6367">
      <w:pPr>
        <w:pStyle w:val="TOC1"/>
        <w:tabs>
          <w:tab w:val="left" w:pos="1282"/>
          <w:tab w:val="right" w:pos="9650"/>
        </w:tabs>
        <w:spacing w:before="120" w:after="120"/>
        <w:rPr>
          <w:rFonts w:asciiTheme="minorHAnsi" w:hAnsiTheme="minorHAnsi" w:cstheme="minorBidi"/>
          <w:b w:val="0"/>
          <w:i w:val="0"/>
          <w:noProof/>
          <w:kern w:val="0"/>
          <w:sz w:val="22"/>
          <w:szCs w:val="22"/>
        </w:rPr>
      </w:pPr>
      <w:r>
        <w:fldChar w:fldCharType="begin"/>
      </w:r>
      <w:r w:rsidR="00E04119">
        <w:instrText>TOC \n  \t "YJ-Proposal,1,sub-proposal,2,3rd level proposal,3" \h</w:instrText>
      </w:r>
      <w:r>
        <w:fldChar w:fldCharType="separate"/>
      </w:r>
      <w:hyperlink w:anchor="_Toc24135687" w:history="1">
        <w:r w:rsidR="00DD0FD0" w:rsidRPr="008611FB">
          <w:rPr>
            <w:rStyle w:val="Hyperlink"/>
            <w:rFonts w:eastAsia="SimSun"/>
            <w:noProof/>
          </w:rPr>
          <w:t>Proposal 1:</w:t>
        </w:r>
        <w:r w:rsidR="00DD0FD0">
          <w:rPr>
            <w:rFonts w:asciiTheme="minorHAnsi" w:hAnsiTheme="minorHAnsi" w:cstheme="minorBidi"/>
            <w:b w:val="0"/>
            <w:i w:val="0"/>
            <w:noProof/>
            <w:kern w:val="0"/>
            <w:sz w:val="22"/>
            <w:szCs w:val="22"/>
          </w:rPr>
          <w:tab/>
        </w:r>
        <w:r w:rsidR="00DD0FD0" w:rsidRPr="008611FB">
          <w:rPr>
            <w:rStyle w:val="Hyperlink"/>
            <w:noProof/>
          </w:rPr>
          <w:t>The CBR measurement time window size is 100 ms for NR V2X.</w:t>
        </w:r>
      </w:hyperlink>
    </w:p>
    <w:p w14:paraId="343BED71" w14:textId="77777777" w:rsidR="00DD0FD0" w:rsidRDefault="00DD0FD0">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35688" w:history="1">
        <w:r w:rsidRPr="008611FB">
          <w:rPr>
            <w:rStyle w:val="Hyperlink"/>
            <w:rFonts w:eastAsia="SimSun"/>
            <w:noProof/>
          </w:rPr>
          <w:t>Proposal 2:</w:t>
        </w:r>
        <w:r>
          <w:rPr>
            <w:rFonts w:asciiTheme="minorHAnsi" w:hAnsiTheme="minorHAnsi" w:cstheme="minorBidi"/>
            <w:b w:val="0"/>
            <w:i w:val="0"/>
            <w:noProof/>
            <w:kern w:val="0"/>
            <w:sz w:val="22"/>
            <w:szCs w:val="22"/>
          </w:rPr>
          <w:tab/>
        </w:r>
        <w:r w:rsidRPr="008611FB">
          <w:rPr>
            <w:rStyle w:val="Hyperlink"/>
            <w:noProof/>
          </w:rPr>
          <w:t>Time window size for CR evaluation is fixed to 1000ms.</w:t>
        </w:r>
      </w:hyperlink>
    </w:p>
    <w:p w14:paraId="7A10DAEB" w14:textId="77777777" w:rsidR="00DD0FD0" w:rsidRDefault="00DD0FD0">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35689" w:history="1">
        <w:r w:rsidRPr="008611FB">
          <w:rPr>
            <w:rStyle w:val="Hyperlink"/>
            <w:rFonts w:eastAsia="SimSun"/>
            <w:noProof/>
          </w:rPr>
          <w:t>Proposal 3:</w:t>
        </w:r>
        <w:r>
          <w:rPr>
            <w:rFonts w:asciiTheme="minorHAnsi" w:hAnsiTheme="minorHAnsi" w:cstheme="minorBidi"/>
            <w:b w:val="0"/>
            <w:i w:val="0"/>
            <w:noProof/>
            <w:kern w:val="0"/>
            <w:sz w:val="22"/>
            <w:szCs w:val="22"/>
          </w:rPr>
          <w:tab/>
        </w:r>
        <w:r w:rsidRPr="008611FB">
          <w:rPr>
            <w:rStyle w:val="Hyperlink"/>
            <w:noProof/>
          </w:rPr>
          <w:t>The time window for CR evaluation at time moment n is [n-a, n+b], in which, 0 &lt; b</w:t>
        </w:r>
        <w:r w:rsidRPr="008611FB">
          <w:rPr>
            <w:rStyle w:val="Hyperlink"/>
            <w:rFonts w:hint="eastAsia"/>
            <w:noProof/>
          </w:rPr>
          <w:t>≤</w:t>
        </w:r>
        <w:r w:rsidRPr="008611FB">
          <w:rPr>
            <w:rStyle w:val="Hyperlink"/>
            <w:noProof/>
          </w:rPr>
          <w:t xml:space="preserve"> PDB.</w:t>
        </w:r>
      </w:hyperlink>
    </w:p>
    <w:p w14:paraId="73AB6586" w14:textId="77777777" w:rsidR="00DD0FD0" w:rsidRDefault="00DD0FD0">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35690" w:history="1">
        <w:r w:rsidRPr="008611FB">
          <w:rPr>
            <w:rStyle w:val="Hyperlink"/>
            <w:rFonts w:eastAsia="SimSun"/>
            <w:noProof/>
          </w:rPr>
          <w:t>Proposal 4:</w:t>
        </w:r>
        <w:r>
          <w:rPr>
            <w:rFonts w:asciiTheme="minorHAnsi" w:hAnsiTheme="minorHAnsi" w:cstheme="minorBidi"/>
            <w:b w:val="0"/>
            <w:i w:val="0"/>
            <w:noProof/>
            <w:kern w:val="0"/>
            <w:sz w:val="22"/>
            <w:szCs w:val="22"/>
          </w:rPr>
          <w:tab/>
        </w:r>
        <w:r w:rsidRPr="008611FB">
          <w:rPr>
            <w:rStyle w:val="Hyperlink"/>
            <w:noProof/>
          </w:rPr>
          <w:t>Only the already-reserved resources for current TB transmission are taken into account for “future” resource usage in the evaluation of channel occupancy ratio CR.</w:t>
        </w:r>
      </w:hyperlink>
    </w:p>
    <w:p w14:paraId="1162C523" w14:textId="77777777" w:rsidR="00DD0FD0" w:rsidRDefault="00DD0FD0">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35691" w:history="1">
        <w:r w:rsidRPr="008611FB">
          <w:rPr>
            <w:rStyle w:val="Hyperlink"/>
            <w:rFonts w:eastAsia="SimSun"/>
            <w:noProof/>
          </w:rPr>
          <w:t>Proposal 5:</w:t>
        </w:r>
        <w:r>
          <w:rPr>
            <w:rFonts w:asciiTheme="minorHAnsi" w:hAnsiTheme="minorHAnsi" w:cstheme="minorBidi"/>
            <w:b w:val="0"/>
            <w:i w:val="0"/>
            <w:noProof/>
            <w:kern w:val="0"/>
            <w:sz w:val="22"/>
            <w:szCs w:val="22"/>
          </w:rPr>
          <w:tab/>
        </w:r>
        <w:r w:rsidRPr="008611FB">
          <w:rPr>
            <w:rStyle w:val="Hyperlink"/>
            <w:noProof/>
          </w:rPr>
          <w:t>Confirm the work assumption that the priority indication in 1st stage SCI has 3 bits.</w:t>
        </w:r>
      </w:hyperlink>
    </w:p>
    <w:p w14:paraId="128F3780" w14:textId="77777777" w:rsidR="007B17D0" w:rsidRDefault="00FD6367">
      <w:pPr>
        <w:spacing w:before="120" w:after="120"/>
      </w:pPr>
      <w:r>
        <w:fldChar w:fldCharType="end"/>
      </w:r>
    </w:p>
    <w:p w14:paraId="1B50F481" w14:textId="77777777" w:rsidR="007B17D0" w:rsidRDefault="00E04119">
      <w:pPr>
        <w:pStyle w:val="Heading1"/>
        <w:spacing w:before="120" w:after="120"/>
        <w:ind w:left="0"/>
        <w:rPr>
          <w:rFonts w:eastAsia="SimSun"/>
        </w:rPr>
      </w:pPr>
      <w:r>
        <w:rPr>
          <w:rFonts w:eastAsia="SimSun" w:hint="eastAsia"/>
        </w:rPr>
        <w:t>Reference</w:t>
      </w:r>
      <w:r>
        <w:rPr>
          <w:rFonts w:eastAsia="SimSun"/>
        </w:rPr>
        <w:t>s</w:t>
      </w:r>
    </w:p>
    <w:p w14:paraId="0BC0CBE3" w14:textId="77777777" w:rsidR="007B17D0" w:rsidRPr="006555A7" w:rsidRDefault="00E04119">
      <w:pPr>
        <w:pStyle w:val="References"/>
        <w:spacing w:before="120" w:after="120"/>
        <w:ind w:left="363" w:hanging="363"/>
        <w:rPr>
          <w:sz w:val="20"/>
          <w:szCs w:val="20"/>
        </w:rPr>
      </w:pPr>
      <w:bookmarkStart w:id="6" w:name="_Ref17466"/>
      <w:r w:rsidRPr="006555A7">
        <w:rPr>
          <w:rFonts w:hint="eastAsia"/>
          <w:sz w:val="20"/>
          <w:szCs w:val="20"/>
        </w:rPr>
        <w:t>Chairman</w:t>
      </w:r>
      <w:r w:rsidRPr="006555A7">
        <w:rPr>
          <w:sz w:val="20"/>
          <w:szCs w:val="20"/>
        </w:rPr>
        <w:t>’</w:t>
      </w:r>
      <w:r w:rsidRPr="006555A7">
        <w:rPr>
          <w:rFonts w:hint="eastAsia"/>
          <w:sz w:val="20"/>
          <w:szCs w:val="20"/>
        </w:rPr>
        <w:t>s notes, 3GPP, RAN1 #98bis, Chongqing, China, 14th - 20th Oct., 2019</w:t>
      </w:r>
    </w:p>
    <w:p w14:paraId="7E5A80D4" w14:textId="77777777" w:rsidR="007B17D0" w:rsidRPr="006555A7" w:rsidRDefault="00E04119">
      <w:pPr>
        <w:pStyle w:val="References"/>
        <w:spacing w:before="120" w:after="120"/>
        <w:ind w:left="363" w:hanging="363"/>
        <w:rPr>
          <w:sz w:val="20"/>
          <w:szCs w:val="20"/>
        </w:rPr>
      </w:pPr>
      <w:r w:rsidRPr="006555A7">
        <w:rPr>
          <w:rFonts w:hint="eastAsia"/>
          <w:sz w:val="20"/>
          <w:szCs w:val="20"/>
        </w:rPr>
        <w:t>3GPP TS 36.214 V15.3.0</w:t>
      </w:r>
    </w:p>
    <w:bookmarkEnd w:id="6"/>
    <w:p w14:paraId="710D3C26" w14:textId="77777777" w:rsidR="007B17D0" w:rsidRPr="006555A7" w:rsidRDefault="00E04119">
      <w:pPr>
        <w:pStyle w:val="References"/>
        <w:spacing w:before="120" w:after="120"/>
        <w:rPr>
          <w:sz w:val="20"/>
          <w:szCs w:val="20"/>
        </w:rPr>
      </w:pPr>
      <w:r w:rsidRPr="006555A7">
        <w:rPr>
          <w:rFonts w:hint="eastAsia"/>
          <w:sz w:val="20"/>
          <w:szCs w:val="20"/>
        </w:rPr>
        <w:t>3GPP TS 37.885 V15.2.0</w:t>
      </w:r>
    </w:p>
    <w:p w14:paraId="23C976D1" w14:textId="77777777" w:rsidR="007B17D0" w:rsidRPr="006555A7" w:rsidRDefault="006555A7">
      <w:pPr>
        <w:pStyle w:val="References"/>
        <w:spacing w:before="120" w:after="120"/>
        <w:rPr>
          <w:sz w:val="20"/>
          <w:szCs w:val="20"/>
        </w:rPr>
      </w:pPr>
      <w:r>
        <w:rPr>
          <w:rFonts w:hint="eastAsia"/>
          <w:sz w:val="20"/>
          <w:szCs w:val="20"/>
        </w:rPr>
        <w:t>R1-1911675</w:t>
      </w:r>
      <w:r>
        <w:rPr>
          <w:sz w:val="20"/>
          <w:szCs w:val="20"/>
        </w:rPr>
        <w:t xml:space="preserve">, </w:t>
      </w:r>
      <w:r w:rsidR="00E04119" w:rsidRPr="006555A7">
        <w:rPr>
          <w:rFonts w:hint="eastAsia"/>
          <w:sz w:val="20"/>
          <w:szCs w:val="20"/>
        </w:rPr>
        <w:t>Reply LS on mapping between LTE V2X PPPP and NR V2X priority</w:t>
      </w:r>
      <w:r>
        <w:rPr>
          <w:sz w:val="20"/>
          <w:szCs w:val="20"/>
        </w:rPr>
        <w:t>,</w:t>
      </w:r>
      <w:r w:rsidR="00E04119" w:rsidRPr="006555A7">
        <w:rPr>
          <w:rFonts w:hint="eastAsia"/>
          <w:sz w:val="20"/>
          <w:szCs w:val="20"/>
        </w:rPr>
        <w:tab/>
        <w:t>SA2, Qualcomm</w:t>
      </w:r>
    </w:p>
    <w:p w14:paraId="02DFF0E5" w14:textId="77777777" w:rsidR="007B17D0" w:rsidRDefault="007B17D0">
      <w:pPr>
        <w:spacing w:beforeLines="0" w:afterLines="0"/>
        <w:jc w:val="left"/>
      </w:pPr>
    </w:p>
    <w:sectPr w:rsidR="007B17D0" w:rsidSect="00FD6367">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578F1" w14:textId="77777777" w:rsidR="005D7F3F" w:rsidRDefault="005D7F3F">
      <w:pPr>
        <w:spacing w:before="120" w:after="120" w:line="240" w:lineRule="auto"/>
      </w:pPr>
      <w:r>
        <w:separator/>
      </w:r>
    </w:p>
  </w:endnote>
  <w:endnote w:type="continuationSeparator" w:id="0">
    <w:p w14:paraId="1B961D41" w14:textId="77777777" w:rsidR="005D7F3F" w:rsidRDefault="005D7F3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4A740" w14:textId="77777777" w:rsidR="003E140D" w:rsidRDefault="003E140D" w:rsidP="00597248">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38482"/>
      <w:docPartObj>
        <w:docPartGallery w:val="Page Numbers (Bottom of Page)"/>
        <w:docPartUnique/>
      </w:docPartObj>
    </w:sdtPr>
    <w:sdtEndPr/>
    <w:sdtContent>
      <w:p w14:paraId="4669A40F" w14:textId="77777777" w:rsidR="003E140D" w:rsidRDefault="00AD347E" w:rsidP="00597248">
        <w:pPr>
          <w:pStyle w:val="Footer"/>
          <w:spacing w:before="120" w:after="120"/>
          <w:jc w:val="center"/>
        </w:pPr>
        <w:r>
          <w:fldChar w:fldCharType="begin"/>
        </w:r>
        <w:r>
          <w:instrText xml:space="preserve"> PAGE   \* MERGEFORMAT </w:instrText>
        </w:r>
        <w:r>
          <w:fldChar w:fldCharType="separate"/>
        </w:r>
        <w:r w:rsidR="00DD0FD0">
          <w:rPr>
            <w:noProof/>
          </w:rPr>
          <w:t>3</w:t>
        </w:r>
        <w:r>
          <w:rPr>
            <w:noProof/>
          </w:rPr>
          <w:fldChar w:fldCharType="end"/>
        </w:r>
      </w:p>
    </w:sdtContent>
  </w:sdt>
  <w:p w14:paraId="5DC7AD83" w14:textId="77777777" w:rsidR="003E140D" w:rsidRDefault="003E140D">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41438" w14:textId="77777777" w:rsidR="003E140D" w:rsidRDefault="003E140D" w:rsidP="00597248">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325DE" w14:textId="77777777" w:rsidR="005D7F3F" w:rsidRDefault="005D7F3F">
      <w:pPr>
        <w:spacing w:before="120" w:after="120" w:line="240" w:lineRule="auto"/>
      </w:pPr>
      <w:r>
        <w:separator/>
      </w:r>
    </w:p>
  </w:footnote>
  <w:footnote w:type="continuationSeparator" w:id="0">
    <w:p w14:paraId="3ED6ED04" w14:textId="77777777" w:rsidR="005D7F3F" w:rsidRDefault="005D7F3F">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41211" w14:textId="77777777" w:rsidR="003E140D" w:rsidRDefault="003E140D" w:rsidP="00597248">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C898A" w14:textId="77777777" w:rsidR="003E140D" w:rsidRDefault="003E140D" w:rsidP="00597248">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47BA5" w14:textId="77777777" w:rsidR="003E140D" w:rsidRDefault="003E140D" w:rsidP="00597248">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0D6E641F"/>
    <w:multiLevelType w:val="multilevel"/>
    <w:tmpl w:val="0D6E6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8964BB"/>
    <w:multiLevelType w:val="multilevel"/>
    <w:tmpl w:val="1C8964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9">
    <w:nsid w:val="450E657A"/>
    <w:multiLevelType w:val="multilevel"/>
    <w:tmpl w:val="450E6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7A04D5B"/>
    <w:multiLevelType w:val="multilevel"/>
    <w:tmpl w:val="57A04D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581B489C"/>
    <w:multiLevelType w:val="hybridMultilevel"/>
    <w:tmpl w:val="829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7"/>
  </w:num>
  <w:num w:numId="6">
    <w:abstractNumId w:val="0"/>
  </w:num>
  <w:num w:numId="7">
    <w:abstractNumId w:val="8"/>
  </w:num>
  <w:num w:numId="8">
    <w:abstractNumId w:val="3"/>
  </w:num>
  <w:num w:numId="9">
    <w:abstractNumId w:val="10"/>
  </w:num>
  <w:num w:numId="10">
    <w:abstractNumId w:val="9"/>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A61D6"/>
    <w:rsid w:val="00172A27"/>
    <w:rsid w:val="001F133C"/>
    <w:rsid w:val="003738D5"/>
    <w:rsid w:val="00387868"/>
    <w:rsid w:val="003E140D"/>
    <w:rsid w:val="004B718E"/>
    <w:rsid w:val="00534507"/>
    <w:rsid w:val="00597248"/>
    <w:rsid w:val="005B065E"/>
    <w:rsid w:val="005D7F3F"/>
    <w:rsid w:val="006555A7"/>
    <w:rsid w:val="007B17D0"/>
    <w:rsid w:val="00815170"/>
    <w:rsid w:val="0096044C"/>
    <w:rsid w:val="00AD347E"/>
    <w:rsid w:val="00B33A1E"/>
    <w:rsid w:val="00DA7FEC"/>
    <w:rsid w:val="00DD0FD0"/>
    <w:rsid w:val="00E04119"/>
    <w:rsid w:val="00FD2DE4"/>
    <w:rsid w:val="00FD6367"/>
    <w:rsid w:val="01764F01"/>
    <w:rsid w:val="01DC0E97"/>
    <w:rsid w:val="024D6B6A"/>
    <w:rsid w:val="029B04E7"/>
    <w:rsid w:val="03073BDC"/>
    <w:rsid w:val="033F44DC"/>
    <w:rsid w:val="0555228E"/>
    <w:rsid w:val="059D1E39"/>
    <w:rsid w:val="05E078B3"/>
    <w:rsid w:val="077D0583"/>
    <w:rsid w:val="079724D0"/>
    <w:rsid w:val="082A352F"/>
    <w:rsid w:val="08C349D1"/>
    <w:rsid w:val="09F67CD5"/>
    <w:rsid w:val="0AFA681A"/>
    <w:rsid w:val="0B9E71DF"/>
    <w:rsid w:val="0C9D30C2"/>
    <w:rsid w:val="0CB92834"/>
    <w:rsid w:val="0E172BD0"/>
    <w:rsid w:val="0EA423BB"/>
    <w:rsid w:val="10A50104"/>
    <w:rsid w:val="119D7849"/>
    <w:rsid w:val="1242135C"/>
    <w:rsid w:val="13A1683F"/>
    <w:rsid w:val="145C4138"/>
    <w:rsid w:val="14DA3DA1"/>
    <w:rsid w:val="17155857"/>
    <w:rsid w:val="17950508"/>
    <w:rsid w:val="19010C43"/>
    <w:rsid w:val="19084C73"/>
    <w:rsid w:val="1A054259"/>
    <w:rsid w:val="1B7F6005"/>
    <w:rsid w:val="1C132CB9"/>
    <w:rsid w:val="1CCC26CA"/>
    <w:rsid w:val="1E9D6342"/>
    <w:rsid w:val="1FED12AC"/>
    <w:rsid w:val="204E6676"/>
    <w:rsid w:val="2195668B"/>
    <w:rsid w:val="21BE5AD4"/>
    <w:rsid w:val="245C52F8"/>
    <w:rsid w:val="2463385E"/>
    <w:rsid w:val="25134332"/>
    <w:rsid w:val="257E508F"/>
    <w:rsid w:val="27AB7429"/>
    <w:rsid w:val="285C053E"/>
    <w:rsid w:val="29FA7F26"/>
    <w:rsid w:val="2B774832"/>
    <w:rsid w:val="2CB47BAD"/>
    <w:rsid w:val="2F1251F2"/>
    <w:rsid w:val="30962F3E"/>
    <w:rsid w:val="30D17E68"/>
    <w:rsid w:val="30FF2795"/>
    <w:rsid w:val="328D21A7"/>
    <w:rsid w:val="329A6ACE"/>
    <w:rsid w:val="32E14AD9"/>
    <w:rsid w:val="360B1D73"/>
    <w:rsid w:val="361F3323"/>
    <w:rsid w:val="36E93760"/>
    <w:rsid w:val="3784394E"/>
    <w:rsid w:val="38AE3BB0"/>
    <w:rsid w:val="39D51362"/>
    <w:rsid w:val="3ACB5746"/>
    <w:rsid w:val="3B7C59C8"/>
    <w:rsid w:val="3BB20883"/>
    <w:rsid w:val="3E441C7D"/>
    <w:rsid w:val="3FC956FF"/>
    <w:rsid w:val="40A36A71"/>
    <w:rsid w:val="41D3631F"/>
    <w:rsid w:val="41F466FD"/>
    <w:rsid w:val="42A67A24"/>
    <w:rsid w:val="42D846B9"/>
    <w:rsid w:val="440D5045"/>
    <w:rsid w:val="4438617B"/>
    <w:rsid w:val="44416305"/>
    <w:rsid w:val="45BE6191"/>
    <w:rsid w:val="460C5979"/>
    <w:rsid w:val="47C01792"/>
    <w:rsid w:val="4808150F"/>
    <w:rsid w:val="49E9233D"/>
    <w:rsid w:val="4AAD1944"/>
    <w:rsid w:val="4AC31003"/>
    <w:rsid w:val="4AE93159"/>
    <w:rsid w:val="4BD0339A"/>
    <w:rsid w:val="4CE87303"/>
    <w:rsid w:val="4D462159"/>
    <w:rsid w:val="4D5C5FAC"/>
    <w:rsid w:val="4DC605B6"/>
    <w:rsid w:val="4DEC0985"/>
    <w:rsid w:val="4E27683A"/>
    <w:rsid w:val="4F2765B1"/>
    <w:rsid w:val="4F285975"/>
    <w:rsid w:val="50E26361"/>
    <w:rsid w:val="51867298"/>
    <w:rsid w:val="52195EDF"/>
    <w:rsid w:val="52313387"/>
    <w:rsid w:val="52E04D27"/>
    <w:rsid w:val="539A390F"/>
    <w:rsid w:val="53DB3477"/>
    <w:rsid w:val="54AF6B42"/>
    <w:rsid w:val="55DD6F2A"/>
    <w:rsid w:val="56E23970"/>
    <w:rsid w:val="578F220A"/>
    <w:rsid w:val="57FC07D9"/>
    <w:rsid w:val="58500F22"/>
    <w:rsid w:val="591C0009"/>
    <w:rsid w:val="5ACF0F3A"/>
    <w:rsid w:val="5C6B1600"/>
    <w:rsid w:val="5C921AD0"/>
    <w:rsid w:val="5DFD51DB"/>
    <w:rsid w:val="5E0D36E5"/>
    <w:rsid w:val="607C3753"/>
    <w:rsid w:val="60C30855"/>
    <w:rsid w:val="61421EFD"/>
    <w:rsid w:val="615C5041"/>
    <w:rsid w:val="664805B8"/>
    <w:rsid w:val="690F418B"/>
    <w:rsid w:val="6A7A2736"/>
    <w:rsid w:val="6A7B4B9C"/>
    <w:rsid w:val="6C61539B"/>
    <w:rsid w:val="6C89456C"/>
    <w:rsid w:val="6E9A42F2"/>
    <w:rsid w:val="6FA629D4"/>
    <w:rsid w:val="70BB2EF0"/>
    <w:rsid w:val="73D425F7"/>
    <w:rsid w:val="750A2023"/>
    <w:rsid w:val="7676736A"/>
    <w:rsid w:val="76933951"/>
    <w:rsid w:val="771D661B"/>
    <w:rsid w:val="78782A0D"/>
    <w:rsid w:val="79A2171F"/>
    <w:rsid w:val="79A252FF"/>
    <w:rsid w:val="79D33056"/>
    <w:rsid w:val="7A537362"/>
    <w:rsid w:val="7C26369C"/>
    <w:rsid w:val="7C9E5A24"/>
    <w:rsid w:val="7D62117D"/>
    <w:rsid w:val="7E3E1EF2"/>
    <w:rsid w:val="7E951513"/>
    <w:rsid w:val="7EF74FC9"/>
    <w:rsid w:val="7FD04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54C5F"/>
  <w15:docId w15:val="{CFFC407E-2A0C-4C57-A75C-C6842344A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367"/>
    <w:pPr>
      <w:spacing w:beforeLines="50" w:afterLines="50"/>
      <w:jc w:val="both"/>
    </w:pPr>
    <w:rPr>
      <w:rFonts w:eastAsia="SimSun"/>
      <w:kern w:val="2"/>
      <w:sz w:val="21"/>
    </w:rPr>
  </w:style>
  <w:style w:type="paragraph" w:styleId="Heading1">
    <w:name w:val="heading 1"/>
    <w:basedOn w:val="Normal"/>
    <w:next w:val="Normal"/>
    <w:qFormat/>
    <w:rsid w:val="00FD6367"/>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FD6367"/>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FD6367"/>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99"/>
    <w:unhideWhenUsed/>
    <w:qFormat/>
    <w:rsid w:val="00FD6367"/>
    <w:pPr>
      <w:adjustRightInd w:val="0"/>
      <w:ind w:leftChars="400" w:left="1282" w:hangingChars="200" w:hanging="442"/>
    </w:pPr>
    <w:rPr>
      <w:b/>
      <w:i/>
      <w:sz w:val="20"/>
    </w:rPr>
  </w:style>
  <w:style w:type="paragraph" w:styleId="Footer">
    <w:name w:val="footer"/>
    <w:basedOn w:val="Normal"/>
    <w:link w:val="FooterChar"/>
    <w:uiPriority w:val="99"/>
    <w:unhideWhenUsed/>
    <w:qFormat/>
    <w:rsid w:val="00FD6367"/>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FD6367"/>
    <w:rPr>
      <w:rFonts w:eastAsiaTheme="minorEastAsia"/>
      <w:b/>
      <w:i/>
      <w:sz w:val="20"/>
    </w:rPr>
  </w:style>
  <w:style w:type="paragraph" w:styleId="TableofFigures">
    <w:name w:val="table of figures"/>
    <w:basedOn w:val="Normal"/>
    <w:next w:val="Normal"/>
    <w:uiPriority w:val="99"/>
    <w:semiHidden/>
    <w:unhideWhenUsed/>
    <w:qFormat/>
    <w:rsid w:val="00FD6367"/>
    <w:pPr>
      <w:ind w:leftChars="200" w:left="200" w:hangingChars="200" w:hanging="200"/>
    </w:pPr>
  </w:style>
  <w:style w:type="paragraph" w:styleId="TOC2">
    <w:name w:val="toc 2"/>
    <w:basedOn w:val="Normal"/>
    <w:next w:val="Normal"/>
    <w:uiPriority w:val="99"/>
    <w:semiHidden/>
    <w:unhideWhenUsed/>
    <w:qFormat/>
    <w:rsid w:val="00FD6367"/>
    <w:pPr>
      <w:ind w:leftChars="200" w:left="862" w:hangingChars="200" w:hanging="442"/>
    </w:pPr>
    <w:rPr>
      <w:b/>
      <w:i/>
      <w:sz w:val="20"/>
    </w:rPr>
  </w:style>
  <w:style w:type="table" w:styleId="TableGrid">
    <w:name w:val="Table Grid"/>
    <w:basedOn w:val="TableNormal"/>
    <w:uiPriority w:val="99"/>
    <w:semiHidden/>
    <w:unhideWhenUsed/>
    <w:rsid w:val="00FD636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rsid w:val="00FD6367"/>
    <w:pPr>
      <w:numPr>
        <w:numId w:val="2"/>
      </w:numPr>
    </w:pPr>
    <w:rPr>
      <w:rFonts w:eastAsiaTheme="minorEastAsia"/>
      <w:b/>
      <w:bCs/>
      <w:i/>
      <w:iCs/>
      <w:sz w:val="20"/>
      <w:lang w:val="en-GB" w:eastAsia="en-US"/>
    </w:rPr>
  </w:style>
  <w:style w:type="paragraph" w:customStyle="1" w:styleId="YJ-Observation">
    <w:name w:val="YJ-Observation"/>
    <w:basedOn w:val="YJ-Proposal"/>
    <w:qFormat/>
    <w:rsid w:val="00FD6367"/>
    <w:pPr>
      <w:numPr>
        <w:numId w:val="3"/>
      </w:numPr>
      <w:tabs>
        <w:tab w:val="left" w:pos="420"/>
      </w:tabs>
    </w:pPr>
  </w:style>
  <w:style w:type="paragraph" w:customStyle="1" w:styleId="sub-proposal">
    <w:name w:val="sub-proposal"/>
    <w:basedOn w:val="YJ-Proposal"/>
    <w:next w:val="Normal"/>
    <w:qFormat/>
    <w:rsid w:val="00FD6367"/>
    <w:pPr>
      <w:numPr>
        <w:numId w:val="4"/>
      </w:numPr>
      <w:ind w:leftChars="200" w:left="862" w:hangingChars="200" w:hanging="442"/>
    </w:pPr>
  </w:style>
  <w:style w:type="paragraph" w:customStyle="1" w:styleId="sub-observation">
    <w:name w:val="sub-observation"/>
    <w:basedOn w:val="sub-proposal"/>
    <w:next w:val="Normal"/>
    <w:qFormat/>
    <w:rsid w:val="00FD6367"/>
  </w:style>
  <w:style w:type="paragraph" w:customStyle="1" w:styleId="References">
    <w:name w:val="References"/>
    <w:basedOn w:val="Normal"/>
    <w:qFormat/>
    <w:rsid w:val="00FD6367"/>
    <w:pPr>
      <w:numPr>
        <w:numId w:val="5"/>
      </w:numPr>
      <w:spacing w:after="60"/>
    </w:pPr>
    <w:rPr>
      <w:szCs w:val="16"/>
    </w:rPr>
  </w:style>
  <w:style w:type="paragraph" w:styleId="ListParagraph">
    <w:name w:val="List Paragraph"/>
    <w:basedOn w:val="Normal"/>
    <w:uiPriority w:val="34"/>
    <w:qFormat/>
    <w:rsid w:val="00FD6367"/>
    <w:pPr>
      <w:spacing w:beforeLines="0" w:after="0" w:line="240" w:lineRule="auto"/>
      <w:ind w:left="720"/>
      <w:contextualSpacing/>
    </w:pPr>
    <w:rPr>
      <w:rFonts w:eastAsia="Times New Roman"/>
      <w:sz w:val="24"/>
      <w:szCs w:val="24"/>
    </w:rPr>
  </w:style>
  <w:style w:type="paragraph" w:customStyle="1" w:styleId="1">
    <w:name w:val="样式1"/>
    <w:basedOn w:val="Normal"/>
    <w:qFormat/>
    <w:rsid w:val="00FD6367"/>
  </w:style>
  <w:style w:type="paragraph" w:customStyle="1" w:styleId="3rdlevelproposal">
    <w:name w:val="3rd level proposal"/>
    <w:basedOn w:val="sub-proposal"/>
    <w:next w:val="Normal"/>
    <w:qFormat/>
    <w:rsid w:val="00FD6367"/>
    <w:pPr>
      <w:numPr>
        <w:numId w:val="6"/>
      </w:numPr>
      <w:ind w:leftChars="400" w:left="1282" w:hanging="442"/>
      <w:jc w:val="left"/>
    </w:pPr>
  </w:style>
  <w:style w:type="paragraph" w:customStyle="1" w:styleId="2">
    <w:name w:val="样式2"/>
    <w:basedOn w:val="Normal"/>
    <w:qFormat/>
    <w:rsid w:val="00FD6367"/>
  </w:style>
  <w:style w:type="paragraph" w:customStyle="1" w:styleId="3rdlevelobservation">
    <w:name w:val="3rd level observation"/>
    <w:basedOn w:val="sub-observation"/>
    <w:qFormat/>
    <w:rsid w:val="00FD6367"/>
    <w:pPr>
      <w:numPr>
        <w:numId w:val="7"/>
      </w:numPr>
      <w:ind w:leftChars="400" w:left="1282" w:hanging="442"/>
    </w:pPr>
  </w:style>
  <w:style w:type="paragraph" w:customStyle="1" w:styleId="NO">
    <w:name w:val="NO"/>
    <w:basedOn w:val="Normal"/>
    <w:qFormat/>
    <w:rsid w:val="00FD6367"/>
    <w:pPr>
      <w:keepLines/>
      <w:spacing w:after="180"/>
      <w:ind w:left="1135" w:hanging="851"/>
    </w:pPr>
  </w:style>
  <w:style w:type="paragraph" w:styleId="Header">
    <w:name w:val="header"/>
    <w:basedOn w:val="Normal"/>
    <w:link w:val="HeaderChar"/>
    <w:semiHidden/>
    <w:qFormat/>
    <w:rsid w:val="00597248"/>
    <w:pPr>
      <w:tabs>
        <w:tab w:val="center" w:pos="4680"/>
        <w:tab w:val="right" w:pos="9360"/>
      </w:tabs>
      <w:spacing w:after="0" w:line="240" w:lineRule="auto"/>
    </w:pPr>
  </w:style>
  <w:style w:type="character" w:customStyle="1" w:styleId="HeaderChar">
    <w:name w:val="Header Char"/>
    <w:basedOn w:val="DefaultParagraphFont"/>
    <w:link w:val="Header"/>
    <w:semiHidden/>
    <w:rsid w:val="00597248"/>
    <w:rPr>
      <w:rFonts w:eastAsia="SimSun"/>
      <w:kern w:val="2"/>
      <w:sz w:val="21"/>
    </w:rPr>
  </w:style>
  <w:style w:type="character" w:customStyle="1" w:styleId="FooterChar">
    <w:name w:val="Footer Char"/>
    <w:basedOn w:val="DefaultParagraphFont"/>
    <w:link w:val="Footer"/>
    <w:uiPriority w:val="99"/>
    <w:rsid w:val="00597248"/>
    <w:rPr>
      <w:rFonts w:eastAsia="SimSun"/>
      <w:kern w:val="2"/>
      <w:sz w:val="18"/>
      <w:szCs w:val="18"/>
    </w:rPr>
  </w:style>
  <w:style w:type="character" w:styleId="Hyperlink">
    <w:name w:val="Hyperlink"/>
    <w:basedOn w:val="DefaultParagraphFont"/>
    <w:uiPriority w:val="99"/>
    <w:unhideWhenUsed/>
    <w:rsid w:val="00597248"/>
    <w:rPr>
      <w:color w:val="0000FF" w:themeColor="hyperlink"/>
      <w:u w:val="single"/>
    </w:rPr>
  </w:style>
  <w:style w:type="character" w:styleId="CommentReference">
    <w:name w:val="annotation reference"/>
    <w:basedOn w:val="DefaultParagraphFont"/>
    <w:uiPriority w:val="99"/>
    <w:semiHidden/>
    <w:unhideWhenUsed/>
    <w:rsid w:val="00815170"/>
    <w:rPr>
      <w:sz w:val="16"/>
      <w:szCs w:val="16"/>
    </w:rPr>
  </w:style>
  <w:style w:type="paragraph" w:styleId="CommentText">
    <w:name w:val="annotation text"/>
    <w:basedOn w:val="Normal"/>
    <w:link w:val="CommentTextChar"/>
    <w:uiPriority w:val="99"/>
    <w:semiHidden/>
    <w:unhideWhenUsed/>
    <w:rsid w:val="00815170"/>
    <w:pPr>
      <w:spacing w:line="240" w:lineRule="auto"/>
    </w:pPr>
    <w:rPr>
      <w:sz w:val="20"/>
    </w:rPr>
  </w:style>
  <w:style w:type="character" w:customStyle="1" w:styleId="CommentTextChar">
    <w:name w:val="Comment Text Char"/>
    <w:basedOn w:val="DefaultParagraphFont"/>
    <w:link w:val="CommentText"/>
    <w:uiPriority w:val="99"/>
    <w:semiHidden/>
    <w:rsid w:val="00815170"/>
    <w:rPr>
      <w:rFonts w:eastAsia="SimSun"/>
      <w:kern w:val="2"/>
    </w:rPr>
  </w:style>
  <w:style w:type="paragraph" w:styleId="CommentSubject">
    <w:name w:val="annotation subject"/>
    <w:basedOn w:val="CommentText"/>
    <w:next w:val="CommentText"/>
    <w:link w:val="CommentSubjectChar"/>
    <w:uiPriority w:val="99"/>
    <w:semiHidden/>
    <w:unhideWhenUsed/>
    <w:rsid w:val="00815170"/>
    <w:rPr>
      <w:b/>
      <w:bCs/>
    </w:rPr>
  </w:style>
  <w:style w:type="character" w:customStyle="1" w:styleId="CommentSubjectChar">
    <w:name w:val="Comment Subject Char"/>
    <w:basedOn w:val="CommentTextChar"/>
    <w:link w:val="CommentSubject"/>
    <w:uiPriority w:val="99"/>
    <w:semiHidden/>
    <w:rsid w:val="00815170"/>
    <w:rPr>
      <w:rFonts w:eastAsia="SimSun"/>
      <w:b/>
      <w:bCs/>
      <w:kern w:val="2"/>
    </w:rPr>
  </w:style>
  <w:style w:type="paragraph" w:styleId="BalloonText">
    <w:name w:val="Balloon Text"/>
    <w:basedOn w:val="Normal"/>
    <w:link w:val="BalloonTextChar"/>
    <w:uiPriority w:val="99"/>
    <w:semiHidden/>
    <w:unhideWhenUsed/>
    <w:rsid w:val="008151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5170"/>
    <w:rPr>
      <w:rFonts w:ascii="Tahoma" w:eastAsia="SimSun" w:hAnsi="Tahoma" w:cs="Tahoma"/>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13</cp:revision>
  <dcterms:created xsi:type="dcterms:W3CDTF">2019-04-08T03:09:00Z</dcterms:created>
  <dcterms:modified xsi:type="dcterms:W3CDTF">2019-11-09T02:01:00Z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